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8665" w14:textId="521D9BEE" w:rsidR="00CE784F" w:rsidRDefault="00CE784F" w:rsidP="00CE784F">
      <w:pPr>
        <w:pStyle w:val="H1"/>
        <w:spacing w:before="0" w:after="0" w:line="240" w:lineRule="auto"/>
        <w:ind w:left="360"/>
        <w:rPr>
          <w:color w:val="6E3B96"/>
          <w:sz w:val="10"/>
          <w:szCs w:val="10"/>
        </w:rPr>
      </w:pPr>
      <w:bookmarkStart w:id="0" w:name="_GoBack"/>
      <w:bookmarkEnd w:id="0"/>
    </w:p>
    <w:p w14:paraId="54F3E415" w14:textId="77777777" w:rsidR="00CE784F" w:rsidRPr="00CE784F" w:rsidRDefault="00CE784F" w:rsidP="00CE784F">
      <w:pPr>
        <w:pStyle w:val="H1"/>
        <w:spacing w:before="0" w:after="0" w:line="240" w:lineRule="auto"/>
        <w:ind w:left="360" w:right="720"/>
        <w:rPr>
          <w:color w:val="6E3B96"/>
          <w:sz w:val="10"/>
          <w:szCs w:val="10"/>
        </w:rPr>
      </w:pPr>
    </w:p>
    <w:p w14:paraId="667A918D" w14:textId="77777777" w:rsidR="00CE784F" w:rsidRDefault="00CE784F" w:rsidP="00CE784F">
      <w:pPr>
        <w:pStyle w:val="H1"/>
        <w:pBdr>
          <w:top w:val="single" w:sz="4" w:space="1" w:color="000000" w:themeColor="text1"/>
          <w:left w:val="single" w:sz="4" w:space="4" w:color="000000" w:themeColor="text1"/>
          <w:bottom w:val="single" w:sz="4" w:space="1" w:color="000000" w:themeColor="text1"/>
          <w:right w:val="single" w:sz="4" w:space="4" w:color="000000" w:themeColor="text1"/>
        </w:pBdr>
        <w:spacing w:before="0" w:after="0" w:line="240" w:lineRule="auto"/>
        <w:ind w:left="360" w:right="720"/>
        <w:rPr>
          <w:rFonts w:ascii="Swift LT Std Light" w:hAnsi="Swift LT Std Light" w:cs="Swift LT Std Light"/>
          <w:b w:val="0"/>
          <w:color w:val="221E1F"/>
          <w:sz w:val="21"/>
          <w:szCs w:val="21"/>
        </w:rPr>
      </w:pPr>
      <w:r w:rsidRPr="0055491E">
        <w:rPr>
          <w:rFonts w:ascii="Swift LT Std" w:hAnsi="Swift LT Std" w:cs="Swift LT Std"/>
          <w:color w:val="221E1F"/>
          <w:sz w:val="21"/>
          <w:szCs w:val="21"/>
        </w:rPr>
        <w:t>Note to the user:</w:t>
      </w:r>
      <w:r w:rsidRPr="0055491E">
        <w:rPr>
          <w:rFonts w:ascii="Swift LT Std Light" w:hAnsi="Swift LT Std Light" w:cs="Swift LT Std Light"/>
          <w:b w:val="0"/>
          <w:color w:val="221E1F"/>
          <w:sz w:val="21"/>
          <w:szCs w:val="21"/>
        </w:rPr>
        <w:t xml:space="preserve"> </w:t>
      </w:r>
    </w:p>
    <w:p w14:paraId="072EA8F7" w14:textId="069E4CE4" w:rsidR="00CE784F" w:rsidRDefault="00CE784F" w:rsidP="00CE784F">
      <w:pPr>
        <w:pStyle w:val="H1"/>
        <w:pBdr>
          <w:top w:val="single" w:sz="4" w:space="1" w:color="000000" w:themeColor="text1"/>
          <w:left w:val="single" w:sz="4" w:space="4" w:color="000000" w:themeColor="text1"/>
          <w:bottom w:val="single" w:sz="4" w:space="1" w:color="000000" w:themeColor="text1"/>
          <w:right w:val="single" w:sz="4" w:space="4" w:color="000000" w:themeColor="text1"/>
        </w:pBdr>
        <w:spacing w:before="0" w:after="0" w:line="240" w:lineRule="auto"/>
        <w:ind w:left="360" w:right="720"/>
        <w:rPr>
          <w:rFonts w:ascii="Swift LT Std Light" w:hAnsi="Swift LT Std Light" w:cs="Swift LT Std Light"/>
          <w:b w:val="0"/>
          <w:color w:val="221E1F"/>
          <w:sz w:val="18"/>
          <w:szCs w:val="18"/>
        </w:rPr>
      </w:pPr>
      <w:r w:rsidRPr="0055491E">
        <w:rPr>
          <w:rFonts w:ascii="Swift LT Std Light" w:hAnsi="Swift LT Std Light" w:cs="Swift LT Std Light"/>
          <w:b w:val="0"/>
          <w:color w:val="221E1F"/>
          <w:sz w:val="18"/>
          <w:szCs w:val="18"/>
        </w:rPr>
        <w:t>It is recommended to read through the guidelines for joint sector reviews—</w:t>
      </w:r>
      <w:r w:rsidRPr="0055491E">
        <w:rPr>
          <w:rFonts w:ascii="Swift LT Std Light" w:hAnsi="Swift LT Std Light" w:cs="Swift LT Std Light"/>
          <w:b w:val="0"/>
          <w:i/>
          <w:iCs/>
          <w:color w:val="221E1F"/>
          <w:sz w:val="18"/>
          <w:szCs w:val="18"/>
        </w:rPr>
        <w:t>Joint Sector Reviews in the Education Sector—A practical guide for organizing effective JSRs</w:t>
      </w:r>
      <w:r>
        <w:rPr>
          <w:rStyle w:val="FootnoteReference"/>
          <w:rFonts w:ascii="Swift LT Std Light" w:hAnsi="Swift LT Std Light" w:cs="Swift LT Std Light"/>
          <w:b w:val="0"/>
          <w:i/>
          <w:iCs/>
          <w:color w:val="221E1F"/>
          <w:sz w:val="18"/>
          <w:szCs w:val="18"/>
        </w:rPr>
        <w:footnoteReference w:id="1"/>
      </w:r>
      <w:r w:rsidRPr="0055491E">
        <w:rPr>
          <w:rFonts w:ascii="Swift LT Std Light" w:hAnsi="Swift LT Std Light" w:cs="Swift LT Std Light"/>
          <w:b w:val="0"/>
          <w:color w:val="221E1F"/>
          <w:sz w:val="18"/>
          <w:szCs w:val="18"/>
        </w:rPr>
        <w:t>—as a general introd</w:t>
      </w:r>
      <w:r w:rsidR="003961BC">
        <w:rPr>
          <w:rFonts w:ascii="Swift LT Std Light" w:hAnsi="Swift LT Std Light" w:cs="Swift LT Std Light"/>
          <w:b w:val="0"/>
          <w:color w:val="221E1F"/>
          <w:sz w:val="18"/>
          <w:szCs w:val="18"/>
        </w:rPr>
        <w:t>uction before using this tool</w:t>
      </w:r>
      <w:r w:rsidRPr="0055491E">
        <w:rPr>
          <w:rFonts w:ascii="Swift LT Std Light" w:hAnsi="Swift LT Std Light" w:cs="Swift LT Std Light"/>
          <w:b w:val="0"/>
          <w:color w:val="221E1F"/>
          <w:sz w:val="18"/>
          <w:szCs w:val="18"/>
        </w:rPr>
        <w:t>, specifically Chapter</w:t>
      </w:r>
      <w:r>
        <w:rPr>
          <w:rFonts w:ascii="Swift LT Std Light" w:hAnsi="Swift LT Std Light" w:cs="Swift LT Std Light"/>
          <w:b w:val="0"/>
          <w:color w:val="221E1F"/>
          <w:sz w:val="18"/>
          <w:szCs w:val="18"/>
        </w:rPr>
        <w:t xml:space="preserve"> 2</w:t>
      </w:r>
      <w:r w:rsidR="003961BC">
        <w:rPr>
          <w:rFonts w:ascii="Swift LT Std Light" w:hAnsi="Swift LT Std Light" w:cs="Swift LT Std Light"/>
          <w:b w:val="0"/>
          <w:color w:val="221E1F"/>
          <w:sz w:val="18"/>
          <w:szCs w:val="18"/>
        </w:rPr>
        <w:t xml:space="preserve"> </w:t>
      </w:r>
      <w:r>
        <w:rPr>
          <w:rFonts w:ascii="Swift LT Std Light" w:hAnsi="Swift LT Std Light" w:cs="Swift LT Std Light"/>
          <w:b w:val="0"/>
          <w:color w:val="221E1F"/>
          <w:sz w:val="18"/>
          <w:szCs w:val="18"/>
        </w:rPr>
        <w:t>–</w:t>
      </w:r>
      <w:r w:rsidR="003961BC">
        <w:rPr>
          <w:rFonts w:ascii="Swift LT Std Light" w:hAnsi="Swift LT Std Light" w:cs="Swift LT Std Light"/>
          <w:b w:val="0"/>
          <w:color w:val="221E1F"/>
          <w:sz w:val="18"/>
          <w:szCs w:val="18"/>
        </w:rPr>
        <w:t xml:space="preserve"> JSR effectiveness framework</w:t>
      </w:r>
      <w:r w:rsidR="00612B98">
        <w:rPr>
          <w:rFonts w:ascii="Swift LT Std Light" w:hAnsi="Swift LT Std Light" w:cs="Swift LT Std Light"/>
          <w:b w:val="0"/>
          <w:color w:val="221E1F"/>
          <w:sz w:val="18"/>
          <w:szCs w:val="18"/>
        </w:rPr>
        <w:t xml:space="preserve"> </w:t>
      </w:r>
    </w:p>
    <w:p w14:paraId="2414BDEF" w14:textId="77777777" w:rsidR="00CE784F" w:rsidRPr="0055491E" w:rsidRDefault="00CE784F" w:rsidP="00CE784F">
      <w:pPr>
        <w:pStyle w:val="H1"/>
        <w:pBdr>
          <w:top w:val="single" w:sz="4" w:space="1" w:color="000000" w:themeColor="text1"/>
          <w:left w:val="single" w:sz="4" w:space="4" w:color="000000" w:themeColor="text1"/>
          <w:bottom w:val="single" w:sz="4" w:space="1" w:color="000000" w:themeColor="text1"/>
          <w:right w:val="single" w:sz="4" w:space="4" w:color="000000" w:themeColor="text1"/>
        </w:pBdr>
        <w:spacing w:before="0" w:after="0" w:line="240" w:lineRule="auto"/>
        <w:ind w:left="360" w:right="720"/>
        <w:rPr>
          <w:b w:val="0"/>
          <w:color w:val="6E3B96"/>
          <w:sz w:val="8"/>
          <w:szCs w:val="8"/>
        </w:rPr>
      </w:pPr>
    </w:p>
    <w:p w14:paraId="7F61D021" w14:textId="77777777" w:rsidR="00CE784F" w:rsidRDefault="00CE784F" w:rsidP="00CE784F">
      <w:pPr>
        <w:pStyle w:val="H1"/>
        <w:spacing w:before="0" w:after="0" w:line="240" w:lineRule="auto"/>
        <w:ind w:left="360"/>
        <w:rPr>
          <w:color w:val="6E3B96"/>
        </w:rPr>
      </w:pPr>
    </w:p>
    <w:p w14:paraId="7487C222" w14:textId="3AE39AB9" w:rsidR="009770D3" w:rsidRDefault="009770D3" w:rsidP="00CE784F">
      <w:pPr>
        <w:pStyle w:val="H1"/>
        <w:ind w:left="360" w:right="630"/>
        <w:rPr>
          <w:color w:val="6E3B96"/>
        </w:rPr>
      </w:pPr>
      <w:r>
        <w:rPr>
          <w:color w:val="6E3B96"/>
        </w:rPr>
        <w:t>Maturity ladder</w:t>
      </w:r>
    </w:p>
    <w:p w14:paraId="172F9195" w14:textId="77777777" w:rsidR="009770D3" w:rsidRDefault="009770D3" w:rsidP="00A46DB4">
      <w:pPr>
        <w:pStyle w:val="PurpleCHAPBM"/>
        <w:ind w:left="360" w:right="540"/>
        <w:rPr>
          <w:rStyle w:val="BOLD"/>
          <w:b/>
          <w:bCs/>
        </w:rPr>
      </w:pPr>
      <w:r>
        <w:rPr>
          <w:rStyle w:val="BOLD"/>
          <w:b/>
          <w:bCs/>
        </w:rPr>
        <w:t xml:space="preserve">This two-page matrix sets the JSR within an evolving framework, using short narratives to describe characteristics of different maturity levels of JSRs, from </w:t>
      </w:r>
      <w:r>
        <w:rPr>
          <w:rStyle w:val="BOLDITAL"/>
          <w:b/>
          <w:bCs/>
        </w:rPr>
        <w:t>basic to intermediate</w:t>
      </w:r>
      <w:r>
        <w:rPr>
          <w:rStyle w:val="BOLD"/>
          <w:b/>
          <w:bCs/>
        </w:rPr>
        <w:t xml:space="preserve"> to </w:t>
      </w:r>
      <w:r>
        <w:rPr>
          <w:rStyle w:val="BOLDITAL"/>
          <w:b/>
          <w:bCs/>
        </w:rPr>
        <w:t>mature.</w:t>
      </w:r>
      <w:r>
        <w:rPr>
          <w:rStyle w:val="BOLD"/>
          <w:b/>
          <w:bCs/>
        </w:rPr>
        <w:t xml:space="preserve"> Organizers of JSRs can use this intuitive tool as an initial exercise to assess past JSRs against the five dimensions and create a quick and visual overview of the potential for growth and optimized use of JSRs. </w:t>
      </w:r>
    </w:p>
    <w:p w14:paraId="16F0C517" w14:textId="77777777" w:rsidR="009770D3" w:rsidRDefault="009770D3" w:rsidP="00A46DB4">
      <w:pPr>
        <w:pStyle w:val="H2"/>
        <w:ind w:left="360"/>
        <w:rPr>
          <w:rStyle w:val="BOLD"/>
          <w:b/>
          <w:bCs/>
          <w:color w:val="6E3B96"/>
        </w:rPr>
      </w:pPr>
      <w:r>
        <w:rPr>
          <w:color w:val="6E3B96"/>
        </w:rPr>
        <w:t>How and when to use the maturity ladder</w:t>
      </w:r>
    </w:p>
    <w:p w14:paraId="2DC5D388" w14:textId="77777777" w:rsidR="009770D3" w:rsidRDefault="009770D3" w:rsidP="00A46DB4">
      <w:pPr>
        <w:pStyle w:val="CHAPBM"/>
        <w:ind w:left="360"/>
      </w:pPr>
      <w:r>
        <w:t xml:space="preserve">The tool is also available on the GPE website for use and adaptation: </w:t>
      </w:r>
      <w:hyperlink r:id="rId6" w:history="1">
        <w:r>
          <w:t>JSR maturity ladder</w:t>
        </w:r>
      </w:hyperlink>
      <w:r>
        <w:t>.</w:t>
      </w:r>
    </w:p>
    <w:p w14:paraId="1950C986" w14:textId="62571F90" w:rsidR="009770D3" w:rsidRDefault="009770D3" w:rsidP="00A46DB4">
      <w:pPr>
        <w:pStyle w:val="CHAPBM"/>
        <w:ind w:left="360" w:right="720"/>
      </w:pPr>
      <w:r>
        <w:rPr>
          <w:rStyle w:val="BOLD"/>
        </w:rPr>
        <w:t>Purpose and Use:</w:t>
      </w:r>
      <w:r>
        <w:t> </w:t>
      </w:r>
      <w:r>
        <w:t xml:space="preserve">The tool reflects how country teams might progress from the organization of their first-time or ‘ad-hoc’ JSR, toward a more robust, well-defined, and well-managed JSR. A more mature JSR foresees and responds to changing sector priorities and stakeholder </w:t>
      </w:r>
      <w:r w:rsidR="007E2D33">
        <w:t>expectations and</w:t>
      </w:r>
      <w:r>
        <w:t xml:space="preserve"> is used as an instrument to manage technical and capacity risks. It is also fully embedded in the institutional landscape, and collectively supported. </w:t>
      </w:r>
    </w:p>
    <w:p w14:paraId="4B4FC73C" w14:textId="77777777" w:rsidR="009770D3" w:rsidRDefault="009770D3" w:rsidP="00A46DB4">
      <w:pPr>
        <w:pStyle w:val="CHAPBM"/>
        <w:ind w:left="360"/>
      </w:pPr>
      <w:r>
        <w:t xml:space="preserve">As such, organizers of JSRs can use this intuitive tool as an initial exercise to: </w:t>
      </w:r>
    </w:p>
    <w:p w14:paraId="4E9B336B" w14:textId="77777777" w:rsidR="009770D3" w:rsidRDefault="009770D3" w:rsidP="00A46DB4">
      <w:pPr>
        <w:pStyle w:val="BLfullwidth1p2between"/>
        <w:ind w:left="1080"/>
      </w:pPr>
      <w:r>
        <w:t>•</w:t>
      </w:r>
      <w:r>
        <w:tab/>
      </w:r>
      <w:r>
        <w:rPr>
          <w:rStyle w:val="ITAL"/>
        </w:rPr>
        <w:t>Position their JSR</w:t>
      </w:r>
      <w:r>
        <w:rPr>
          <w:rStyle w:val="TBLITAL"/>
        </w:rPr>
        <w:t xml:space="preserve"> </w:t>
      </w:r>
      <w:r>
        <w:t>against the five dimensions;</w:t>
      </w:r>
    </w:p>
    <w:p w14:paraId="33107BEB" w14:textId="77777777" w:rsidR="009770D3" w:rsidRDefault="009770D3" w:rsidP="00A46DB4">
      <w:pPr>
        <w:pStyle w:val="BLfullwidth1p2between"/>
        <w:ind w:left="1080" w:right="720"/>
      </w:pPr>
      <w:r>
        <w:t>•</w:t>
      </w:r>
      <w:r>
        <w:tab/>
      </w:r>
      <w:r>
        <w:rPr>
          <w:rStyle w:val="ITAL"/>
        </w:rPr>
        <w:t>Create a quick and visual overview</w:t>
      </w:r>
      <w:r>
        <w:t xml:space="preserve"> of the potential for growth and optimized use of JSRs; and</w:t>
      </w:r>
    </w:p>
    <w:p w14:paraId="1A6EBD5E" w14:textId="77777777" w:rsidR="009770D3" w:rsidRDefault="009770D3" w:rsidP="00A46DB4">
      <w:pPr>
        <w:pStyle w:val="BLfullwidth1p2between"/>
        <w:ind w:left="1080" w:right="720"/>
      </w:pPr>
      <w:r>
        <w:t>•</w:t>
      </w:r>
      <w:r>
        <w:tab/>
      </w:r>
      <w:r>
        <w:rPr>
          <w:rStyle w:val="ITAL"/>
        </w:rPr>
        <w:t>Kick off dialogue</w:t>
      </w:r>
      <w:r>
        <w:t xml:space="preserve"> around current and potential JSR practices.</w:t>
      </w:r>
    </w:p>
    <w:p w14:paraId="25636E35" w14:textId="77777777" w:rsidR="009770D3" w:rsidRDefault="009770D3" w:rsidP="00A46DB4">
      <w:pPr>
        <w:pStyle w:val="CHAPBM"/>
        <w:ind w:left="360" w:right="720"/>
      </w:pPr>
      <w:r>
        <w:rPr>
          <w:rStyle w:val="BOLD"/>
        </w:rPr>
        <w:t>Methodology:</w:t>
      </w:r>
      <w:r>
        <w:t> </w:t>
      </w:r>
      <w:r>
        <w:t xml:space="preserve">The tool is intended to engage organizers or a wider group of stakeholders in initial dialogue around the JSR, for instance during the preparation of the </w:t>
      </w:r>
      <w:proofErr w:type="spellStart"/>
      <w:r>
        <w:t>ToR</w:t>
      </w:r>
      <w:proofErr w:type="spellEnd"/>
      <w:r>
        <w:t xml:space="preserve"> to set a vision.</w:t>
      </w:r>
    </w:p>
    <w:p w14:paraId="72879D6D" w14:textId="77777777" w:rsidR="009770D3" w:rsidRDefault="009770D3" w:rsidP="00A46DB4">
      <w:pPr>
        <w:pStyle w:val="CHAPBM"/>
        <w:ind w:left="360" w:right="720"/>
      </w:pPr>
      <w:r>
        <w:t>It is helpful to use color coding to mark the maturity level that is most resonant within the situation in the specific context for each dimension. Country teams can also mark the level of maturity they are aiming toward, to envision and assess realistic direction for their JSR.</w:t>
      </w:r>
    </w:p>
    <w:p w14:paraId="79F4FCE9" w14:textId="50834DD1" w:rsidR="009770D3" w:rsidRDefault="009770D3" w:rsidP="0055491E">
      <w:pPr>
        <w:pStyle w:val="CHAPBM"/>
        <w:ind w:left="360" w:right="720"/>
        <w:rPr>
          <w:rStyle w:val="BOLD"/>
        </w:rPr>
      </w:pPr>
      <w:r>
        <w:rPr>
          <w:rStyle w:val="BOLD"/>
        </w:rPr>
        <w:t>Timing:</w:t>
      </w:r>
      <w:r>
        <w:t> </w:t>
      </w:r>
      <w:r>
        <w:t>The tool can be used as a taster of the more detailed self-assessment tool (see previous tool), or independently as a shorthand method for assessing organizational maturity and where focus may be needed in the undertaking of JSRs.</w:t>
      </w:r>
    </w:p>
    <w:p w14:paraId="22634D0D" w14:textId="584D3E64" w:rsidR="0055491E" w:rsidRDefault="0055491E" w:rsidP="00A46DB4">
      <w:pPr>
        <w:pStyle w:val="FOOTNOTES"/>
        <w:ind w:left="450"/>
      </w:pPr>
    </w:p>
    <w:p w14:paraId="265F58A6" w14:textId="32D8955F" w:rsidR="0055491E" w:rsidRDefault="0055491E" w:rsidP="00A46DB4">
      <w:pPr>
        <w:pStyle w:val="FOOTNOTES"/>
        <w:ind w:left="450"/>
      </w:pPr>
    </w:p>
    <w:p w14:paraId="39E738C6" w14:textId="7679E6E8" w:rsidR="0055491E" w:rsidRDefault="0055491E" w:rsidP="00A46DB4">
      <w:pPr>
        <w:pStyle w:val="FOOTNOTES"/>
        <w:ind w:left="450"/>
      </w:pPr>
    </w:p>
    <w:p w14:paraId="3D9C5076" w14:textId="30C79436" w:rsidR="0055491E" w:rsidRDefault="0055491E" w:rsidP="00A46DB4">
      <w:pPr>
        <w:pStyle w:val="FOOTNOTES"/>
        <w:ind w:left="450"/>
      </w:pPr>
    </w:p>
    <w:p w14:paraId="738DB12F" w14:textId="77777777" w:rsidR="0055491E" w:rsidRDefault="0055491E" w:rsidP="00A46DB4">
      <w:pPr>
        <w:pStyle w:val="FOOTNOTES"/>
        <w:ind w:left="450"/>
      </w:pPr>
    </w:p>
    <w:p w14:paraId="30A33755" w14:textId="619E1E81" w:rsidR="00612B98" w:rsidRDefault="00612B98" w:rsidP="002B2245">
      <w:pPr>
        <w:pStyle w:val="CHAPBM"/>
      </w:pPr>
      <w:r w:rsidRPr="002B2245">
        <w:rPr>
          <w:noProof/>
        </w:rPr>
        <w:drawing>
          <wp:inline distT="0" distB="0" distL="0" distR="0" wp14:anchorId="0A051DD9" wp14:editId="52F55035">
            <wp:extent cx="6858000" cy="196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968500"/>
                    </a:xfrm>
                    <a:prstGeom prst="rect">
                      <a:avLst/>
                    </a:prstGeom>
                  </pic:spPr>
                </pic:pic>
              </a:graphicData>
            </a:graphic>
          </wp:inline>
        </w:drawing>
      </w:r>
    </w:p>
    <w:p w14:paraId="25518AC3" w14:textId="3566719D" w:rsidR="009770D3" w:rsidRDefault="009770D3" w:rsidP="002B2245">
      <w:pPr>
        <w:pStyle w:val="CHAPBM"/>
      </w:pPr>
    </w:p>
    <w:tbl>
      <w:tblPr>
        <w:tblW w:w="12510" w:type="dxa"/>
        <w:tblInd w:w="-728" w:type="dxa"/>
        <w:tblLayout w:type="fixed"/>
        <w:tblCellMar>
          <w:left w:w="0" w:type="dxa"/>
          <w:right w:w="0" w:type="dxa"/>
        </w:tblCellMar>
        <w:tblLook w:val="0000" w:firstRow="0" w:lastRow="0" w:firstColumn="0" w:lastColumn="0" w:noHBand="0" w:noVBand="0"/>
      </w:tblPr>
      <w:tblGrid>
        <w:gridCol w:w="1890"/>
        <w:gridCol w:w="1942"/>
        <w:gridCol w:w="1928"/>
        <w:gridCol w:w="2160"/>
        <w:gridCol w:w="2070"/>
        <w:gridCol w:w="2520"/>
      </w:tblGrid>
      <w:tr w:rsidR="00D33BAF" w14:paraId="4511EAA1" w14:textId="77777777" w:rsidTr="00A65986">
        <w:trPr>
          <w:trHeight w:val="189"/>
          <w:tblHeader/>
        </w:trPr>
        <w:tc>
          <w:tcPr>
            <w:tcW w:w="1890" w:type="dxa"/>
            <w:vMerge w:val="restart"/>
            <w:tcBorders>
              <w:top w:val="single" w:sz="6" w:space="0" w:color="000000"/>
              <w:left w:val="single" w:sz="6" w:space="0" w:color="000000"/>
              <w:bottom w:val="dotted" w:sz="8" w:space="0" w:color="6E3B96"/>
              <w:right w:val="single" w:sz="8" w:space="0" w:color="000000"/>
            </w:tcBorders>
            <w:shd w:val="clear" w:color="auto" w:fill="CDB5DC" w:themeFill="accent1" w:themeFillTint="99"/>
            <w:tcMar>
              <w:top w:w="120" w:type="dxa"/>
              <w:left w:w="120" w:type="dxa"/>
              <w:bottom w:w="120" w:type="dxa"/>
              <w:right w:w="120" w:type="dxa"/>
            </w:tcMar>
            <w:vAlign w:val="bottom"/>
          </w:tcPr>
          <w:p w14:paraId="34DDE1EA" w14:textId="7FA6E203" w:rsidR="00D33BAF" w:rsidRPr="00DC2D52" w:rsidRDefault="00D33BAF" w:rsidP="00A65986">
            <w:pPr>
              <w:pStyle w:val="TBLCOLHDTables"/>
              <w:tabs>
                <w:tab w:val="clear" w:pos="280"/>
                <w:tab w:val="left" w:pos="510"/>
              </w:tabs>
              <w:spacing w:after="0" w:line="240" w:lineRule="auto"/>
              <w:ind w:left="240" w:firstLine="180"/>
              <w:jc w:val="right"/>
              <w:rPr>
                <w:sz w:val="20"/>
                <w:szCs w:val="20"/>
              </w:rPr>
            </w:pPr>
            <w:r>
              <w:rPr>
                <w:sz w:val="20"/>
                <w:szCs w:val="20"/>
              </w:rPr>
              <w:t>Dimensions of an Effective JSR</w:t>
            </w:r>
          </w:p>
        </w:tc>
        <w:tc>
          <w:tcPr>
            <w:tcW w:w="10620" w:type="dxa"/>
            <w:gridSpan w:val="5"/>
            <w:tcBorders>
              <w:top w:val="single" w:sz="4" w:space="0" w:color="6E3B96"/>
              <w:left w:val="single" w:sz="8" w:space="0" w:color="000000"/>
              <w:bottom w:val="dotted" w:sz="8" w:space="0" w:color="6E3B96"/>
              <w:right w:val="single" w:sz="4" w:space="0" w:color="6E3B96"/>
            </w:tcBorders>
            <w:shd w:val="solid" w:color="6E3B96" w:fill="auto"/>
            <w:tcMar>
              <w:top w:w="120" w:type="dxa"/>
              <w:left w:w="120" w:type="dxa"/>
              <w:bottom w:w="120" w:type="dxa"/>
              <w:right w:w="120" w:type="dxa"/>
            </w:tcMar>
          </w:tcPr>
          <w:p w14:paraId="3F309005" w14:textId="77777777" w:rsidR="00D33BAF" w:rsidRDefault="00D33BAF" w:rsidP="00612B98">
            <w:pPr>
              <w:pStyle w:val="TBLCOLHDTables"/>
              <w:spacing w:after="0" w:line="240" w:lineRule="auto"/>
              <w:jc w:val="center"/>
            </w:pPr>
            <w:r>
              <w:rPr>
                <w:sz w:val="20"/>
                <w:szCs w:val="20"/>
              </w:rPr>
              <w:t>Maturity ladder of evolving JSRs</w:t>
            </w:r>
          </w:p>
        </w:tc>
      </w:tr>
      <w:tr w:rsidR="00D33BAF" w14:paraId="1BEA19B5" w14:textId="77777777" w:rsidTr="00A65986">
        <w:trPr>
          <w:trHeight w:val="103"/>
          <w:tblHeader/>
        </w:trPr>
        <w:tc>
          <w:tcPr>
            <w:tcW w:w="1890" w:type="dxa"/>
            <w:vMerge/>
            <w:tcBorders>
              <w:top w:val="dotted" w:sz="8" w:space="0" w:color="6E3B96"/>
              <w:left w:val="single" w:sz="6" w:space="0" w:color="000000"/>
              <w:bottom w:val="dotted" w:sz="8" w:space="0" w:color="6E3B96"/>
              <w:right w:val="single" w:sz="8" w:space="0" w:color="000000"/>
            </w:tcBorders>
            <w:shd w:val="clear" w:color="auto" w:fill="CDB5DC" w:themeFill="accent1" w:themeFillTint="99"/>
          </w:tcPr>
          <w:p w14:paraId="5B630205" w14:textId="77777777" w:rsidR="00D33BAF" w:rsidRDefault="00D33BAF" w:rsidP="00DC2D52">
            <w:pPr>
              <w:pStyle w:val="NoParagraphStyle"/>
              <w:spacing w:line="240" w:lineRule="auto"/>
              <w:jc w:val="right"/>
              <w:textAlignment w:val="auto"/>
              <w:rPr>
                <w:rFonts w:ascii="SwiftLTStd-Regular" w:hAnsi="SwiftLTStd-Regular" w:cs="Times New Roman"/>
                <w:color w:val="auto"/>
              </w:rPr>
            </w:pPr>
          </w:p>
        </w:tc>
        <w:tc>
          <w:tcPr>
            <w:tcW w:w="3870" w:type="dxa"/>
            <w:gridSpan w:val="2"/>
            <w:tcBorders>
              <w:top w:val="dotted" w:sz="8" w:space="0" w:color="6E3B96"/>
              <w:left w:val="single" w:sz="8" w:space="0" w:color="000000"/>
              <w:bottom w:val="dotted" w:sz="8" w:space="0" w:color="6E3B96"/>
              <w:right w:val="single" w:sz="4" w:space="0" w:color="6E3B96"/>
            </w:tcBorders>
            <w:shd w:val="solid" w:color="F89D1D" w:fill="auto"/>
            <w:tcMar>
              <w:top w:w="120" w:type="dxa"/>
              <w:left w:w="120" w:type="dxa"/>
              <w:bottom w:w="120" w:type="dxa"/>
              <w:right w:w="120" w:type="dxa"/>
            </w:tcMar>
          </w:tcPr>
          <w:p w14:paraId="00516A5D" w14:textId="77777777" w:rsidR="00D33BAF" w:rsidRDefault="00D33BAF" w:rsidP="00612B98">
            <w:pPr>
              <w:pStyle w:val="TBLCOLHDTables"/>
              <w:spacing w:after="0" w:line="240" w:lineRule="auto"/>
              <w:jc w:val="center"/>
            </w:pPr>
            <w:r>
              <w:rPr>
                <w:sz w:val="20"/>
                <w:szCs w:val="20"/>
              </w:rPr>
              <w:t>Emerging</w:t>
            </w:r>
          </w:p>
        </w:tc>
        <w:tc>
          <w:tcPr>
            <w:tcW w:w="2160" w:type="dxa"/>
            <w:tcBorders>
              <w:top w:val="dotted" w:sz="8" w:space="0" w:color="6E3B96"/>
              <w:left w:val="single" w:sz="4" w:space="0" w:color="6E3B96"/>
              <w:bottom w:val="dotted" w:sz="8" w:space="0" w:color="6E3B96"/>
              <w:right w:val="single" w:sz="4" w:space="0" w:color="6E3B96"/>
            </w:tcBorders>
            <w:shd w:val="solid" w:color="A662A4" w:fill="auto"/>
            <w:tcMar>
              <w:top w:w="120" w:type="dxa"/>
              <w:left w:w="120" w:type="dxa"/>
              <w:bottom w:w="120" w:type="dxa"/>
              <w:right w:w="120" w:type="dxa"/>
            </w:tcMar>
          </w:tcPr>
          <w:p w14:paraId="4E6A1E84" w14:textId="77777777" w:rsidR="00D33BAF" w:rsidRDefault="00D33BAF" w:rsidP="00612B98">
            <w:pPr>
              <w:pStyle w:val="TBLCOLHDTables"/>
              <w:spacing w:after="0" w:line="240" w:lineRule="auto"/>
              <w:jc w:val="center"/>
            </w:pPr>
            <w:r>
              <w:rPr>
                <w:sz w:val="20"/>
                <w:szCs w:val="20"/>
              </w:rPr>
              <w:t>Intermediate</w:t>
            </w:r>
          </w:p>
        </w:tc>
        <w:tc>
          <w:tcPr>
            <w:tcW w:w="4590" w:type="dxa"/>
            <w:gridSpan w:val="2"/>
            <w:tcBorders>
              <w:top w:val="dotted" w:sz="8" w:space="0" w:color="6E3B96"/>
              <w:left w:val="single" w:sz="4" w:space="0" w:color="6E3B96"/>
              <w:bottom w:val="dotted" w:sz="8" w:space="0" w:color="6E3B96"/>
              <w:right w:val="single" w:sz="4" w:space="0" w:color="6E3B96"/>
            </w:tcBorders>
            <w:shd w:val="solid" w:color="BA4D98" w:fill="auto"/>
            <w:tcMar>
              <w:top w:w="120" w:type="dxa"/>
              <w:left w:w="120" w:type="dxa"/>
              <w:bottom w:w="120" w:type="dxa"/>
              <w:right w:w="120" w:type="dxa"/>
            </w:tcMar>
          </w:tcPr>
          <w:p w14:paraId="582198A7" w14:textId="77777777" w:rsidR="00D33BAF" w:rsidRDefault="00D33BAF" w:rsidP="00612B98">
            <w:pPr>
              <w:pStyle w:val="TBLCOLHDTables"/>
              <w:spacing w:after="0" w:line="240" w:lineRule="auto"/>
              <w:jc w:val="center"/>
            </w:pPr>
            <w:r>
              <w:rPr>
                <w:sz w:val="20"/>
                <w:szCs w:val="20"/>
              </w:rPr>
              <w:t xml:space="preserve">Mature </w:t>
            </w:r>
          </w:p>
        </w:tc>
      </w:tr>
      <w:tr w:rsidR="00D33BAF" w14:paraId="2C4FF436" w14:textId="77777777" w:rsidTr="00612B98">
        <w:trPr>
          <w:trHeight w:val="202"/>
          <w:tblHeader/>
        </w:trPr>
        <w:tc>
          <w:tcPr>
            <w:tcW w:w="1890" w:type="dxa"/>
            <w:vMerge/>
            <w:tcBorders>
              <w:top w:val="dotted" w:sz="8" w:space="0" w:color="6E3B96"/>
              <w:left w:val="single" w:sz="6" w:space="0" w:color="000000"/>
              <w:bottom w:val="dotted" w:sz="6" w:space="0" w:color="000000"/>
              <w:right w:val="single" w:sz="8" w:space="0" w:color="000000"/>
            </w:tcBorders>
            <w:shd w:val="clear" w:color="auto" w:fill="CDB5DC" w:themeFill="accent1" w:themeFillTint="99"/>
          </w:tcPr>
          <w:p w14:paraId="7EE902D3" w14:textId="77777777" w:rsidR="00D33BAF" w:rsidRDefault="00D33BAF" w:rsidP="00DC2D52">
            <w:pPr>
              <w:pStyle w:val="NoParagraphStyle"/>
              <w:spacing w:line="240" w:lineRule="auto"/>
              <w:jc w:val="right"/>
              <w:textAlignment w:val="auto"/>
              <w:rPr>
                <w:rFonts w:ascii="SwiftLTStd-Regular" w:hAnsi="SwiftLTStd-Regular" w:cs="Times New Roman"/>
                <w:color w:val="auto"/>
              </w:rPr>
            </w:pPr>
          </w:p>
        </w:tc>
        <w:tc>
          <w:tcPr>
            <w:tcW w:w="1942" w:type="dxa"/>
            <w:tcBorders>
              <w:top w:val="dotted" w:sz="8" w:space="0" w:color="6E3B96"/>
              <w:left w:val="single" w:sz="8" w:space="0" w:color="000000"/>
              <w:bottom w:val="dotted" w:sz="6" w:space="0" w:color="6E3B96"/>
              <w:right w:val="single" w:sz="4" w:space="0" w:color="6E3B96"/>
            </w:tcBorders>
            <w:shd w:val="solid" w:color="F89D1D" w:fill="auto"/>
            <w:tcMar>
              <w:top w:w="120" w:type="dxa"/>
              <w:left w:w="120" w:type="dxa"/>
              <w:bottom w:w="120" w:type="dxa"/>
              <w:right w:w="120" w:type="dxa"/>
            </w:tcMar>
          </w:tcPr>
          <w:p w14:paraId="4C1E6332" w14:textId="77777777" w:rsidR="00D33BAF" w:rsidRDefault="00D33BAF" w:rsidP="00612B98">
            <w:pPr>
              <w:pStyle w:val="TBLCOLHDTables"/>
              <w:spacing w:after="0" w:line="240" w:lineRule="auto"/>
              <w:jc w:val="center"/>
            </w:pPr>
            <w:r>
              <w:t>Initial</w:t>
            </w:r>
          </w:p>
        </w:tc>
        <w:tc>
          <w:tcPr>
            <w:tcW w:w="1928" w:type="dxa"/>
            <w:tcBorders>
              <w:top w:val="dotted" w:sz="8" w:space="0" w:color="6E3B96"/>
              <w:left w:val="single" w:sz="4" w:space="0" w:color="6E3B96"/>
              <w:bottom w:val="dotted" w:sz="6" w:space="0" w:color="6E3B96"/>
              <w:right w:val="single" w:sz="4" w:space="0" w:color="6E3B96"/>
            </w:tcBorders>
            <w:shd w:val="solid" w:color="F89D1D" w:fill="auto"/>
            <w:tcMar>
              <w:top w:w="120" w:type="dxa"/>
              <w:left w:w="120" w:type="dxa"/>
              <w:bottom w:w="120" w:type="dxa"/>
              <w:right w:w="120" w:type="dxa"/>
            </w:tcMar>
          </w:tcPr>
          <w:p w14:paraId="44D04975" w14:textId="77777777" w:rsidR="00D33BAF" w:rsidRDefault="00D33BAF" w:rsidP="00612B98">
            <w:pPr>
              <w:pStyle w:val="TBLCOLHDTables"/>
              <w:spacing w:after="0" w:line="240" w:lineRule="auto"/>
              <w:jc w:val="center"/>
            </w:pPr>
            <w:r>
              <w:t xml:space="preserve">Developing </w:t>
            </w:r>
          </w:p>
        </w:tc>
        <w:tc>
          <w:tcPr>
            <w:tcW w:w="2160" w:type="dxa"/>
            <w:tcBorders>
              <w:top w:val="dotted" w:sz="8" w:space="0" w:color="6E3B96"/>
              <w:left w:val="single" w:sz="4" w:space="0" w:color="6E3B96"/>
              <w:bottom w:val="dotted" w:sz="6" w:space="0" w:color="6E3B96"/>
              <w:right w:val="single" w:sz="4" w:space="0" w:color="6E3B96"/>
            </w:tcBorders>
            <w:shd w:val="solid" w:color="A662A4" w:fill="auto"/>
            <w:tcMar>
              <w:top w:w="120" w:type="dxa"/>
              <w:left w:w="120" w:type="dxa"/>
              <w:bottom w:w="120" w:type="dxa"/>
              <w:right w:w="120" w:type="dxa"/>
            </w:tcMar>
          </w:tcPr>
          <w:p w14:paraId="059EF49C" w14:textId="77777777" w:rsidR="00D33BAF" w:rsidRDefault="00D33BAF" w:rsidP="00612B98">
            <w:pPr>
              <w:pStyle w:val="TBLCOLHDTables"/>
              <w:spacing w:after="0" w:line="240" w:lineRule="auto"/>
              <w:jc w:val="center"/>
            </w:pPr>
            <w:r>
              <w:t>Well defined</w:t>
            </w:r>
          </w:p>
        </w:tc>
        <w:tc>
          <w:tcPr>
            <w:tcW w:w="2070" w:type="dxa"/>
            <w:tcBorders>
              <w:top w:val="dotted" w:sz="8" w:space="0" w:color="6E3B96"/>
              <w:left w:val="single" w:sz="4" w:space="0" w:color="6E3B96"/>
              <w:bottom w:val="dotted" w:sz="6" w:space="0" w:color="6E3B96"/>
              <w:right w:val="single" w:sz="4" w:space="0" w:color="6E3B96"/>
            </w:tcBorders>
            <w:shd w:val="solid" w:color="BA4D98" w:fill="auto"/>
            <w:tcMar>
              <w:top w:w="120" w:type="dxa"/>
              <w:left w:w="120" w:type="dxa"/>
              <w:bottom w:w="120" w:type="dxa"/>
              <w:right w:w="120" w:type="dxa"/>
            </w:tcMar>
          </w:tcPr>
          <w:p w14:paraId="3E1AB5C0" w14:textId="77777777" w:rsidR="00D33BAF" w:rsidRDefault="00D33BAF" w:rsidP="00612B98">
            <w:pPr>
              <w:pStyle w:val="TBLCOLHDTables"/>
              <w:spacing w:after="0" w:line="240" w:lineRule="auto"/>
              <w:jc w:val="center"/>
            </w:pPr>
            <w:r>
              <w:t>Well managed</w:t>
            </w:r>
          </w:p>
        </w:tc>
        <w:tc>
          <w:tcPr>
            <w:tcW w:w="2520" w:type="dxa"/>
            <w:tcBorders>
              <w:top w:val="dotted" w:sz="8" w:space="0" w:color="6E3B96"/>
              <w:left w:val="single" w:sz="4" w:space="0" w:color="6E3B96"/>
              <w:bottom w:val="dotted" w:sz="6" w:space="0" w:color="6E3B96"/>
              <w:right w:val="single" w:sz="4" w:space="0" w:color="6E3B96"/>
            </w:tcBorders>
            <w:shd w:val="solid" w:color="BA4D98" w:fill="auto"/>
            <w:tcMar>
              <w:top w:w="120" w:type="dxa"/>
              <w:left w:w="120" w:type="dxa"/>
              <w:bottom w:w="120" w:type="dxa"/>
              <w:right w:w="120" w:type="dxa"/>
            </w:tcMar>
          </w:tcPr>
          <w:p w14:paraId="21BB5F9E" w14:textId="77777777" w:rsidR="00D33BAF" w:rsidRDefault="00D33BAF" w:rsidP="00612B98">
            <w:pPr>
              <w:pStyle w:val="TBLCOLHDTables"/>
              <w:spacing w:after="0" w:line="240" w:lineRule="auto"/>
              <w:jc w:val="center"/>
            </w:pPr>
            <w:r>
              <w:t>Optimized</w:t>
            </w:r>
          </w:p>
        </w:tc>
      </w:tr>
      <w:tr w:rsidR="00D33BAF" w14:paraId="47633999" w14:textId="77777777" w:rsidTr="00612B98">
        <w:trPr>
          <w:trHeight w:val="2369"/>
        </w:trPr>
        <w:tc>
          <w:tcPr>
            <w:tcW w:w="1890" w:type="dxa"/>
            <w:tcBorders>
              <w:top w:val="dotted" w:sz="8" w:space="0" w:color="6E3B96"/>
              <w:left w:val="single" w:sz="4" w:space="0" w:color="6E3B96"/>
              <w:bottom w:val="dotted" w:sz="6" w:space="0" w:color="6E3B96"/>
              <w:right w:val="single" w:sz="4" w:space="0" w:color="6E3B96"/>
            </w:tcBorders>
            <w:shd w:val="clear" w:color="auto" w:fill="CDB5DC" w:themeFill="accent1" w:themeFillTint="99"/>
            <w:tcMar>
              <w:top w:w="120" w:type="dxa"/>
              <w:left w:w="120" w:type="dxa"/>
              <w:bottom w:w="120" w:type="dxa"/>
              <w:right w:w="120" w:type="dxa"/>
            </w:tcMar>
          </w:tcPr>
          <w:p w14:paraId="12587DDB" w14:textId="33E453B6" w:rsidR="00D33BAF" w:rsidRPr="00A65986" w:rsidRDefault="00D33BAF" w:rsidP="00DC2D52">
            <w:pPr>
              <w:pStyle w:val="TBLSIDEHEADTables"/>
              <w:spacing w:after="40"/>
              <w:jc w:val="right"/>
              <w:rPr>
                <w:sz w:val="20"/>
                <w:szCs w:val="20"/>
              </w:rPr>
            </w:pPr>
            <w:r w:rsidRPr="00A65986">
              <w:rPr>
                <w:color w:val="6E3B96"/>
                <w:sz w:val="20"/>
                <w:szCs w:val="20"/>
              </w:rPr>
              <w:t>Inclusive and Participatory</w:t>
            </w:r>
          </w:p>
        </w:tc>
        <w:tc>
          <w:tcPr>
            <w:tcW w:w="1942" w:type="dxa"/>
            <w:tcBorders>
              <w:top w:val="dotted" w:sz="8" w:space="0" w:color="6E3B96"/>
              <w:left w:val="single" w:sz="4" w:space="0" w:color="6E3B96"/>
              <w:bottom w:val="dotted" w:sz="6" w:space="0" w:color="6E3B96"/>
              <w:right w:val="single" w:sz="4" w:space="0" w:color="6E3B96"/>
            </w:tcBorders>
            <w:tcMar>
              <w:top w:w="120" w:type="dxa"/>
              <w:left w:w="120" w:type="dxa"/>
              <w:bottom w:w="120" w:type="dxa"/>
              <w:right w:w="120" w:type="dxa"/>
            </w:tcMar>
          </w:tcPr>
          <w:p w14:paraId="67E103E9" w14:textId="77777777" w:rsidR="00D33BAF" w:rsidRDefault="00D33BAF" w:rsidP="00612B98">
            <w:pPr>
              <w:pStyle w:val="TBLBODYTables"/>
              <w:spacing w:after="0" w:line="240" w:lineRule="auto"/>
              <w:rPr>
                <w:sz w:val="16"/>
                <w:szCs w:val="16"/>
              </w:rPr>
            </w:pPr>
            <w:r>
              <w:rPr>
                <w:sz w:val="16"/>
                <w:szCs w:val="16"/>
              </w:rPr>
              <w:t xml:space="preserve">Narrow stakeholder participation in JSR and limited mutual accountability for plan implementation and sector results. </w:t>
            </w:r>
          </w:p>
          <w:p w14:paraId="3E5FFB2E" w14:textId="77777777" w:rsidR="00D33BAF" w:rsidRDefault="00D33BAF" w:rsidP="00612B98">
            <w:pPr>
              <w:pStyle w:val="TBLBODYTables"/>
              <w:spacing w:after="0" w:line="240" w:lineRule="auto"/>
            </w:pPr>
            <w:r>
              <w:rPr>
                <w:sz w:val="16"/>
                <w:szCs w:val="16"/>
              </w:rPr>
              <w:t>Weak trust in JSR process and/or limited agreement on JSR usefulness as part of strengthening of ESP planning, monitoring, and reporting cycle.</w:t>
            </w:r>
          </w:p>
        </w:tc>
        <w:tc>
          <w:tcPr>
            <w:tcW w:w="1928" w:type="dxa"/>
            <w:tcBorders>
              <w:top w:val="dotted" w:sz="8" w:space="0" w:color="6E3B96"/>
              <w:left w:val="single" w:sz="4" w:space="0" w:color="6E3B96"/>
              <w:bottom w:val="dotted" w:sz="6" w:space="0" w:color="6E3B96"/>
              <w:right w:val="single" w:sz="4" w:space="0" w:color="6E3B96"/>
            </w:tcBorders>
            <w:tcMar>
              <w:top w:w="120" w:type="dxa"/>
              <w:left w:w="120" w:type="dxa"/>
              <w:bottom w:w="120" w:type="dxa"/>
              <w:right w:w="120" w:type="dxa"/>
            </w:tcMar>
          </w:tcPr>
          <w:p w14:paraId="0333DF05" w14:textId="77777777" w:rsidR="00D33BAF" w:rsidRDefault="00D33BAF" w:rsidP="00612B98">
            <w:pPr>
              <w:pStyle w:val="TBLBODYTables"/>
              <w:spacing w:after="0" w:line="240" w:lineRule="auto"/>
              <w:rPr>
                <w:sz w:val="16"/>
                <w:szCs w:val="16"/>
              </w:rPr>
            </w:pPr>
            <w:r>
              <w:rPr>
                <w:sz w:val="16"/>
                <w:szCs w:val="16"/>
              </w:rPr>
              <w:t xml:space="preserve">Growing stakeholder awareness around necessity of JSR, but limited and reactive engagement of stakeholder groups. </w:t>
            </w:r>
          </w:p>
          <w:p w14:paraId="77FF64FB" w14:textId="77777777" w:rsidR="00D33BAF" w:rsidRDefault="00D33BAF" w:rsidP="00612B98">
            <w:pPr>
              <w:pStyle w:val="TBLBODYTables"/>
              <w:spacing w:after="0" w:line="240" w:lineRule="auto"/>
            </w:pPr>
            <w:r>
              <w:rPr>
                <w:sz w:val="16"/>
                <w:szCs w:val="16"/>
              </w:rPr>
              <w:t xml:space="preserve">Engagement not always effective, with limited stakeholder commitment to JSR priority actions. </w:t>
            </w:r>
          </w:p>
        </w:tc>
        <w:tc>
          <w:tcPr>
            <w:tcW w:w="2160" w:type="dxa"/>
            <w:tcBorders>
              <w:top w:val="dotted" w:sz="8" w:space="0" w:color="6E3B96"/>
              <w:left w:val="single" w:sz="4" w:space="0" w:color="6E3B96"/>
              <w:bottom w:val="dotted" w:sz="6" w:space="0" w:color="6E3B96"/>
              <w:right w:val="single" w:sz="4" w:space="0" w:color="6E3B96"/>
            </w:tcBorders>
            <w:tcMar>
              <w:top w:w="120" w:type="dxa"/>
              <w:left w:w="120" w:type="dxa"/>
              <w:bottom w:w="120" w:type="dxa"/>
              <w:right w:w="120" w:type="dxa"/>
            </w:tcMar>
          </w:tcPr>
          <w:p w14:paraId="1BD1EACC" w14:textId="77777777" w:rsidR="00D33BAF" w:rsidRDefault="00D33BAF" w:rsidP="00612B98">
            <w:pPr>
              <w:pStyle w:val="TBLBODYTables"/>
              <w:spacing w:after="0" w:line="240" w:lineRule="auto"/>
              <w:rPr>
                <w:sz w:val="16"/>
                <w:szCs w:val="16"/>
              </w:rPr>
            </w:pPr>
            <w:r>
              <w:rPr>
                <w:sz w:val="16"/>
                <w:szCs w:val="16"/>
              </w:rPr>
              <w:t xml:space="preserve">Good communication, support services, and funding for broad participation of state and non-state actors in JSR. </w:t>
            </w:r>
          </w:p>
          <w:p w14:paraId="5F295705" w14:textId="77777777" w:rsidR="00D33BAF" w:rsidRDefault="00D33BAF" w:rsidP="00612B98">
            <w:pPr>
              <w:pStyle w:val="TBLBODYTables"/>
              <w:spacing w:after="0" w:line="240" w:lineRule="auto"/>
              <w:rPr>
                <w:sz w:val="16"/>
                <w:szCs w:val="16"/>
              </w:rPr>
            </w:pPr>
            <w:r>
              <w:rPr>
                <w:sz w:val="16"/>
                <w:szCs w:val="16"/>
              </w:rPr>
              <w:t>Expected stakeholder roles well defined and according responsibilities proactively followed.</w:t>
            </w:r>
          </w:p>
          <w:p w14:paraId="4FFC3C86" w14:textId="77777777" w:rsidR="00D33BAF" w:rsidRDefault="00D33BAF" w:rsidP="00612B98">
            <w:pPr>
              <w:pStyle w:val="TBLBODYTables"/>
              <w:spacing w:after="0" w:line="240" w:lineRule="auto"/>
            </w:pPr>
            <w:r>
              <w:rPr>
                <w:sz w:val="16"/>
                <w:szCs w:val="16"/>
              </w:rPr>
              <w:t>More effective participation and data contributions throughout the review process.</w:t>
            </w:r>
          </w:p>
        </w:tc>
        <w:tc>
          <w:tcPr>
            <w:tcW w:w="2070" w:type="dxa"/>
            <w:tcBorders>
              <w:top w:val="dotted" w:sz="8" w:space="0" w:color="6E3B96"/>
              <w:left w:val="single" w:sz="4" w:space="0" w:color="6E3B96"/>
              <w:bottom w:val="dotted" w:sz="6" w:space="0" w:color="6E3B96"/>
              <w:right w:val="single" w:sz="4" w:space="0" w:color="6E3B96"/>
            </w:tcBorders>
            <w:tcMar>
              <w:top w:w="120" w:type="dxa"/>
              <w:left w:w="120" w:type="dxa"/>
              <w:bottom w:w="120" w:type="dxa"/>
              <w:right w:w="120" w:type="dxa"/>
            </w:tcMar>
          </w:tcPr>
          <w:p w14:paraId="1AAAB520" w14:textId="77777777" w:rsidR="00D33BAF" w:rsidRDefault="00D33BAF" w:rsidP="00612B98">
            <w:pPr>
              <w:pStyle w:val="TBLBODYTables"/>
              <w:spacing w:after="0" w:line="240" w:lineRule="auto"/>
              <w:rPr>
                <w:sz w:val="16"/>
                <w:szCs w:val="16"/>
              </w:rPr>
            </w:pPr>
            <w:r>
              <w:rPr>
                <w:sz w:val="16"/>
                <w:szCs w:val="16"/>
              </w:rPr>
              <w:t xml:space="preserve">All stakeholder groups represented and proactively participating in JSR. </w:t>
            </w:r>
          </w:p>
          <w:p w14:paraId="21F35B4D" w14:textId="77777777" w:rsidR="00D33BAF" w:rsidRDefault="00D33BAF" w:rsidP="00612B98">
            <w:pPr>
              <w:pStyle w:val="TBLBODYTables"/>
              <w:spacing w:after="0" w:line="240" w:lineRule="auto"/>
            </w:pPr>
            <w:r>
              <w:rPr>
                <w:sz w:val="16"/>
                <w:szCs w:val="16"/>
              </w:rPr>
              <w:t xml:space="preserve">Stakeholders effectively contribute to JSR </w:t>
            </w:r>
            <w:proofErr w:type="spellStart"/>
            <w:r>
              <w:rPr>
                <w:sz w:val="16"/>
                <w:szCs w:val="16"/>
              </w:rPr>
              <w:t>ToR</w:t>
            </w:r>
            <w:proofErr w:type="spellEnd"/>
            <w:r>
              <w:rPr>
                <w:sz w:val="16"/>
                <w:szCs w:val="16"/>
              </w:rPr>
              <w:t>, gathering evidence base, production of documents, agenda setting, recommendations, etc.</w:t>
            </w:r>
          </w:p>
        </w:tc>
        <w:tc>
          <w:tcPr>
            <w:tcW w:w="2520" w:type="dxa"/>
            <w:tcBorders>
              <w:top w:val="dotted" w:sz="8" w:space="0" w:color="6E3B96"/>
              <w:left w:val="single" w:sz="4" w:space="0" w:color="6E3B96"/>
              <w:bottom w:val="dotted" w:sz="6" w:space="0" w:color="6E3B96"/>
              <w:right w:val="single" w:sz="4" w:space="0" w:color="6E3B96"/>
            </w:tcBorders>
            <w:tcMar>
              <w:top w:w="140" w:type="dxa"/>
              <w:left w:w="80" w:type="dxa"/>
              <w:bottom w:w="140" w:type="dxa"/>
              <w:right w:w="90" w:type="dxa"/>
            </w:tcMar>
          </w:tcPr>
          <w:p w14:paraId="1002682D" w14:textId="77777777" w:rsidR="00D33BAF" w:rsidRDefault="00D33BAF" w:rsidP="00612B98">
            <w:pPr>
              <w:pStyle w:val="TBLBODYTables"/>
              <w:spacing w:after="0" w:line="240" w:lineRule="auto"/>
              <w:ind w:right="720"/>
            </w:pPr>
            <w:r>
              <w:rPr>
                <w:sz w:val="16"/>
                <w:szCs w:val="16"/>
              </w:rPr>
              <w:t>Regular stakeholder updates and communications, and process transparency toward optimizing year-round collaboration on JSR.</w:t>
            </w:r>
          </w:p>
        </w:tc>
      </w:tr>
      <w:tr w:rsidR="00D33BAF" w14:paraId="79D21ABE" w14:textId="77777777" w:rsidTr="00A65986">
        <w:trPr>
          <w:trHeight w:val="60"/>
        </w:trPr>
        <w:tc>
          <w:tcPr>
            <w:tcW w:w="1890" w:type="dxa"/>
            <w:tcBorders>
              <w:top w:val="dotted" w:sz="6" w:space="0" w:color="6E3B96"/>
              <w:left w:val="single" w:sz="4" w:space="0" w:color="6E3B96"/>
              <w:bottom w:val="dotted" w:sz="8" w:space="0" w:color="6E3B96"/>
              <w:right w:val="single" w:sz="4" w:space="0" w:color="6E3B96"/>
            </w:tcBorders>
            <w:shd w:val="clear" w:color="auto" w:fill="CDB5DC" w:themeFill="accent1" w:themeFillTint="99"/>
            <w:tcMar>
              <w:top w:w="120" w:type="dxa"/>
              <w:left w:w="120" w:type="dxa"/>
              <w:bottom w:w="240" w:type="dxa"/>
              <w:right w:w="120" w:type="dxa"/>
            </w:tcMar>
          </w:tcPr>
          <w:p w14:paraId="7A4A6F70" w14:textId="047A71D0" w:rsidR="00612B98" w:rsidRDefault="00612B98" w:rsidP="00612B98">
            <w:pPr>
              <w:pStyle w:val="TBLSIDEHEADTables"/>
              <w:spacing w:after="0" w:line="240" w:lineRule="auto"/>
              <w:jc w:val="right"/>
            </w:pPr>
            <w:r>
              <w:rPr>
                <w:color w:val="6E3B96"/>
                <w:sz w:val="20"/>
                <w:szCs w:val="20"/>
              </w:rPr>
              <w:t xml:space="preserve">Aligned with common policy frameworks </w:t>
            </w:r>
          </w:p>
          <w:p w14:paraId="44A585B6" w14:textId="3A01A23B" w:rsidR="00D33BAF" w:rsidRDefault="00D33BAF" w:rsidP="00DC2D52">
            <w:pPr>
              <w:pStyle w:val="TBLSIDEHEADTables"/>
              <w:spacing w:after="0" w:line="240" w:lineRule="auto"/>
              <w:jc w:val="right"/>
            </w:pPr>
          </w:p>
        </w:tc>
        <w:tc>
          <w:tcPr>
            <w:tcW w:w="1942" w:type="dxa"/>
            <w:tcBorders>
              <w:top w:val="dotted" w:sz="6" w:space="0" w:color="6E3B96"/>
              <w:left w:val="single" w:sz="4" w:space="0" w:color="6E3B96"/>
              <w:bottom w:val="dotted" w:sz="8" w:space="0" w:color="6E3B96"/>
              <w:right w:val="single" w:sz="4" w:space="0" w:color="6E3B96"/>
            </w:tcBorders>
            <w:tcMar>
              <w:top w:w="120" w:type="dxa"/>
              <w:left w:w="120" w:type="dxa"/>
              <w:bottom w:w="240" w:type="dxa"/>
              <w:right w:w="120" w:type="dxa"/>
            </w:tcMar>
          </w:tcPr>
          <w:p w14:paraId="1D077CDF" w14:textId="77777777" w:rsidR="00D33BAF" w:rsidRDefault="00D33BAF" w:rsidP="00612B98">
            <w:pPr>
              <w:pStyle w:val="TBLBODYTables"/>
              <w:spacing w:after="0" w:line="240" w:lineRule="auto"/>
              <w:rPr>
                <w:sz w:val="16"/>
                <w:szCs w:val="16"/>
              </w:rPr>
            </w:pPr>
            <w:r>
              <w:rPr>
                <w:sz w:val="16"/>
                <w:szCs w:val="16"/>
              </w:rPr>
              <w:t>No or partial alignment of JSR to ESP/TEP or sector/subsector strategies.</w:t>
            </w:r>
          </w:p>
          <w:p w14:paraId="434E441D" w14:textId="77777777" w:rsidR="00D33BAF" w:rsidRDefault="00D33BAF" w:rsidP="00612B98">
            <w:pPr>
              <w:pStyle w:val="TBLBODYTables"/>
              <w:spacing w:after="0" w:line="240" w:lineRule="auto"/>
              <w:rPr>
                <w:sz w:val="16"/>
                <w:szCs w:val="16"/>
              </w:rPr>
            </w:pPr>
            <w:r>
              <w:rPr>
                <w:sz w:val="16"/>
                <w:szCs w:val="16"/>
              </w:rPr>
              <w:t>JSR recommendations not systematically followed up to benefit sector reporting, monitoring, and planning cycles.</w:t>
            </w:r>
          </w:p>
          <w:p w14:paraId="2C97E2DB" w14:textId="77777777" w:rsidR="00D33BAF" w:rsidRDefault="00D33BAF" w:rsidP="00612B98">
            <w:pPr>
              <w:pStyle w:val="TBLBODYTables"/>
              <w:spacing w:after="0" w:line="240" w:lineRule="auto"/>
            </w:pPr>
            <w:r>
              <w:rPr>
                <w:sz w:val="16"/>
                <w:szCs w:val="16"/>
              </w:rPr>
              <w:t>Monitoring efforts entail high transaction costs.</w:t>
            </w:r>
          </w:p>
        </w:tc>
        <w:tc>
          <w:tcPr>
            <w:tcW w:w="1928" w:type="dxa"/>
            <w:tcBorders>
              <w:top w:val="dotted" w:sz="6" w:space="0" w:color="6E3B96"/>
              <w:left w:val="single" w:sz="4" w:space="0" w:color="6E3B96"/>
              <w:bottom w:val="dotted" w:sz="8" w:space="0" w:color="6E3B96"/>
              <w:right w:val="single" w:sz="4" w:space="0" w:color="6E3B96"/>
            </w:tcBorders>
            <w:tcMar>
              <w:top w:w="120" w:type="dxa"/>
              <w:left w:w="120" w:type="dxa"/>
              <w:bottom w:w="240" w:type="dxa"/>
              <w:right w:w="120" w:type="dxa"/>
            </w:tcMar>
          </w:tcPr>
          <w:p w14:paraId="59E6A8A0" w14:textId="77777777" w:rsidR="00D33BAF" w:rsidRDefault="00D33BAF" w:rsidP="00612B98">
            <w:pPr>
              <w:pStyle w:val="TBLBODYTables"/>
              <w:spacing w:after="0" w:line="240" w:lineRule="auto"/>
              <w:rPr>
                <w:sz w:val="16"/>
                <w:szCs w:val="16"/>
              </w:rPr>
            </w:pPr>
            <w:r>
              <w:rPr>
                <w:sz w:val="16"/>
                <w:szCs w:val="16"/>
              </w:rPr>
              <w:t xml:space="preserve">Improvements in joint assessment of education sector performance against ESP/TEP and annual </w:t>
            </w:r>
            <w:proofErr w:type="gramStart"/>
            <w:r>
              <w:rPr>
                <w:sz w:val="16"/>
                <w:szCs w:val="16"/>
              </w:rPr>
              <w:t>results frameworks, but</w:t>
            </w:r>
            <w:proofErr w:type="gramEnd"/>
            <w:r>
              <w:rPr>
                <w:sz w:val="16"/>
                <w:szCs w:val="16"/>
              </w:rPr>
              <w:t xml:space="preserve"> continued parallel monitoring processes led by development partners and civil society stakeholders. </w:t>
            </w:r>
          </w:p>
          <w:p w14:paraId="00DFDD64" w14:textId="77777777" w:rsidR="00D33BAF" w:rsidRDefault="00D33BAF" w:rsidP="00612B98">
            <w:pPr>
              <w:pStyle w:val="TBLBODYTables"/>
              <w:spacing w:after="0" w:line="240" w:lineRule="auto"/>
            </w:pPr>
            <w:r>
              <w:rPr>
                <w:sz w:val="16"/>
                <w:szCs w:val="16"/>
              </w:rPr>
              <w:t>Limited follow-up on JSR recommendations.</w:t>
            </w:r>
          </w:p>
        </w:tc>
        <w:tc>
          <w:tcPr>
            <w:tcW w:w="2160" w:type="dxa"/>
            <w:tcBorders>
              <w:top w:val="dotted" w:sz="6" w:space="0" w:color="6E3B96"/>
              <w:left w:val="single" w:sz="4" w:space="0" w:color="6E3B96"/>
              <w:bottom w:val="dotted" w:sz="8" w:space="0" w:color="6E3B96"/>
              <w:right w:val="single" w:sz="4" w:space="0" w:color="6E3B96"/>
            </w:tcBorders>
            <w:tcMar>
              <w:top w:w="120" w:type="dxa"/>
              <w:left w:w="120" w:type="dxa"/>
              <w:bottom w:w="240" w:type="dxa"/>
              <w:right w:w="120" w:type="dxa"/>
            </w:tcMar>
          </w:tcPr>
          <w:p w14:paraId="273D01F2" w14:textId="77777777" w:rsidR="00D33BAF" w:rsidRDefault="00D33BAF" w:rsidP="00612B98">
            <w:pPr>
              <w:pStyle w:val="TBLBODYTables"/>
              <w:spacing w:after="0" w:line="240" w:lineRule="auto"/>
              <w:rPr>
                <w:sz w:val="16"/>
                <w:szCs w:val="16"/>
              </w:rPr>
            </w:pPr>
            <w:r>
              <w:rPr>
                <w:sz w:val="16"/>
                <w:szCs w:val="16"/>
              </w:rPr>
              <w:t>JSR largely aligned with ESP/TEP planning and reporting cycle and ESP/TEP annual results frameworks.</w:t>
            </w:r>
          </w:p>
          <w:p w14:paraId="6A8078BB" w14:textId="77777777" w:rsidR="00D33BAF" w:rsidRDefault="00D33BAF" w:rsidP="00612B98">
            <w:pPr>
              <w:pStyle w:val="TBLBODYTables"/>
              <w:spacing w:after="0" w:line="240" w:lineRule="auto"/>
              <w:rPr>
                <w:sz w:val="16"/>
                <w:szCs w:val="16"/>
              </w:rPr>
            </w:pPr>
            <w:r>
              <w:rPr>
                <w:sz w:val="16"/>
                <w:szCs w:val="16"/>
              </w:rPr>
              <w:t xml:space="preserve">Explicit linkages with subsector strategies and programming. More systematic attention to documenting and implementing agreed follow-up actions. </w:t>
            </w:r>
          </w:p>
          <w:p w14:paraId="5DA47EC7" w14:textId="77777777" w:rsidR="00D33BAF" w:rsidRDefault="00D33BAF" w:rsidP="00612B98">
            <w:pPr>
              <w:pStyle w:val="TBLBODYTables"/>
              <w:spacing w:after="0" w:line="240" w:lineRule="auto"/>
            </w:pPr>
            <w:r>
              <w:rPr>
                <w:sz w:val="16"/>
                <w:szCs w:val="16"/>
              </w:rPr>
              <w:t>ESP/TEP regularly reviewed in light of JSR findings.</w:t>
            </w:r>
          </w:p>
        </w:tc>
        <w:tc>
          <w:tcPr>
            <w:tcW w:w="2070" w:type="dxa"/>
            <w:tcBorders>
              <w:top w:val="dotted" w:sz="6" w:space="0" w:color="6E3B96"/>
              <w:left w:val="single" w:sz="4" w:space="0" w:color="6E3B96"/>
              <w:bottom w:val="dotted" w:sz="8" w:space="0" w:color="6E3B96"/>
              <w:right w:val="single" w:sz="4" w:space="0" w:color="6E3B96"/>
            </w:tcBorders>
            <w:tcMar>
              <w:top w:w="120" w:type="dxa"/>
              <w:left w:w="120" w:type="dxa"/>
              <w:bottom w:w="240" w:type="dxa"/>
              <w:right w:w="120" w:type="dxa"/>
            </w:tcMar>
          </w:tcPr>
          <w:p w14:paraId="0AA07C8D" w14:textId="77777777" w:rsidR="00D33BAF" w:rsidRDefault="00D33BAF" w:rsidP="00612B98">
            <w:pPr>
              <w:pStyle w:val="TBLBODYTables"/>
              <w:spacing w:after="0" w:line="240" w:lineRule="auto"/>
              <w:rPr>
                <w:sz w:val="16"/>
                <w:szCs w:val="16"/>
              </w:rPr>
            </w:pPr>
            <w:r>
              <w:rPr>
                <w:sz w:val="16"/>
                <w:szCs w:val="16"/>
              </w:rPr>
              <w:t>JSR is principal sector review mechanism to which majority of education stakeholders align.</w:t>
            </w:r>
          </w:p>
          <w:p w14:paraId="49D6E20C" w14:textId="77777777" w:rsidR="00D33BAF" w:rsidRDefault="00D33BAF" w:rsidP="00612B98">
            <w:pPr>
              <w:pStyle w:val="TBLBODYTables"/>
              <w:spacing w:after="0" w:line="240" w:lineRule="auto"/>
            </w:pPr>
            <w:r>
              <w:rPr>
                <w:sz w:val="16"/>
                <w:szCs w:val="16"/>
              </w:rPr>
              <w:t>JSR input documents fully aligned with ESP/TEP and its operational documents (e.g., annual or multiyear operational plan and results framework).</w:t>
            </w:r>
          </w:p>
        </w:tc>
        <w:tc>
          <w:tcPr>
            <w:tcW w:w="2520" w:type="dxa"/>
            <w:tcBorders>
              <w:top w:val="dotted" w:sz="6" w:space="0" w:color="6E3B96"/>
              <w:left w:val="single" w:sz="4" w:space="0" w:color="6E3B96"/>
              <w:bottom w:val="dotted" w:sz="8" w:space="0" w:color="6E3B96"/>
              <w:right w:val="single" w:sz="4" w:space="0" w:color="6E3B96"/>
            </w:tcBorders>
            <w:tcMar>
              <w:top w:w="140" w:type="dxa"/>
              <w:left w:w="80" w:type="dxa"/>
              <w:bottom w:w="240" w:type="dxa"/>
              <w:right w:w="90" w:type="dxa"/>
            </w:tcMar>
          </w:tcPr>
          <w:p w14:paraId="53AAC25F" w14:textId="77777777" w:rsidR="00D33BAF" w:rsidRDefault="00D33BAF" w:rsidP="00612B98">
            <w:pPr>
              <w:pStyle w:val="TBLBODYTables"/>
              <w:spacing w:after="0" w:line="240" w:lineRule="auto"/>
              <w:ind w:right="720"/>
              <w:rPr>
                <w:sz w:val="16"/>
                <w:szCs w:val="16"/>
              </w:rPr>
            </w:pPr>
            <w:r>
              <w:rPr>
                <w:sz w:val="16"/>
                <w:szCs w:val="16"/>
              </w:rPr>
              <w:t>Fully integrated JSR serving sector planning, appraisals, and M&amp;E—resulting in mutual accountability and reduced transaction costs.</w:t>
            </w:r>
          </w:p>
          <w:p w14:paraId="58EF9273" w14:textId="77777777" w:rsidR="00D33BAF" w:rsidRDefault="00D33BAF" w:rsidP="00612B98">
            <w:pPr>
              <w:pStyle w:val="TBLBODYTables"/>
              <w:spacing w:after="0" w:line="240" w:lineRule="auto"/>
              <w:ind w:right="720"/>
            </w:pPr>
            <w:r>
              <w:rPr>
                <w:sz w:val="16"/>
                <w:szCs w:val="16"/>
              </w:rPr>
              <w:t>Optimization of JSR data and outcomes across all sector planning, programming, and budgeting elements.</w:t>
            </w:r>
          </w:p>
        </w:tc>
      </w:tr>
    </w:tbl>
    <w:p w14:paraId="5208A435" w14:textId="77777777" w:rsidR="00612B98" w:rsidRDefault="00612B98" w:rsidP="00DC2D52">
      <w:pPr>
        <w:pStyle w:val="TBLSIDEHEADTables"/>
        <w:spacing w:after="0" w:line="240" w:lineRule="auto"/>
        <w:jc w:val="right"/>
        <w:rPr>
          <w:color w:val="6E3B96"/>
          <w:sz w:val="20"/>
          <w:szCs w:val="20"/>
        </w:rPr>
        <w:sectPr w:rsidR="00612B98" w:rsidSect="006E3BD5">
          <w:headerReference w:type="even" r:id="rId8"/>
          <w:headerReference w:type="default" r:id="rId9"/>
          <w:footerReference w:type="even" r:id="rId10"/>
          <w:footerReference w:type="default" r:id="rId11"/>
          <w:pgSz w:w="12240" w:h="15840"/>
          <w:pgMar w:top="720" w:right="720" w:bottom="720" w:left="720" w:header="720" w:footer="720" w:gutter="0"/>
          <w:cols w:space="720"/>
          <w:noEndnote/>
        </w:sectPr>
      </w:pPr>
    </w:p>
    <w:tbl>
      <w:tblPr>
        <w:tblW w:w="12510" w:type="dxa"/>
        <w:tblInd w:w="-725" w:type="dxa"/>
        <w:tblLayout w:type="fixed"/>
        <w:tblCellMar>
          <w:left w:w="0" w:type="dxa"/>
          <w:right w:w="0" w:type="dxa"/>
        </w:tblCellMar>
        <w:tblLook w:val="0000" w:firstRow="0" w:lastRow="0" w:firstColumn="0" w:lastColumn="0" w:noHBand="0" w:noVBand="0"/>
      </w:tblPr>
      <w:tblGrid>
        <w:gridCol w:w="1890"/>
        <w:gridCol w:w="1942"/>
        <w:gridCol w:w="1928"/>
        <w:gridCol w:w="2160"/>
        <w:gridCol w:w="2070"/>
        <w:gridCol w:w="2520"/>
      </w:tblGrid>
      <w:tr w:rsidR="00D33BAF" w14:paraId="3D869BFE" w14:textId="77777777" w:rsidTr="00612B98">
        <w:trPr>
          <w:trHeight w:val="60"/>
        </w:trPr>
        <w:tc>
          <w:tcPr>
            <w:tcW w:w="1890" w:type="dxa"/>
            <w:tcBorders>
              <w:top w:val="dotted" w:sz="8" w:space="0" w:color="6E3B96"/>
              <w:left w:val="single" w:sz="4" w:space="0" w:color="6E3B96"/>
              <w:bottom w:val="dotted" w:sz="6" w:space="0" w:color="6E3B96"/>
              <w:right w:val="single" w:sz="4" w:space="0" w:color="6E3B96"/>
            </w:tcBorders>
            <w:shd w:val="clear" w:color="auto" w:fill="CDB5DC" w:themeFill="accent1" w:themeFillTint="99"/>
            <w:tcMar>
              <w:top w:w="120" w:type="dxa"/>
              <w:left w:w="120" w:type="dxa"/>
              <w:bottom w:w="120" w:type="dxa"/>
              <w:right w:w="120" w:type="dxa"/>
            </w:tcMar>
          </w:tcPr>
          <w:p w14:paraId="1AC95334" w14:textId="1AB2A24A" w:rsidR="00612B98" w:rsidRDefault="00D33BAF" w:rsidP="00DC2D52">
            <w:pPr>
              <w:pStyle w:val="TBLSIDEHEADTables"/>
              <w:spacing w:after="0" w:line="240" w:lineRule="auto"/>
              <w:jc w:val="right"/>
              <w:rPr>
                <w:color w:val="6E3B96"/>
                <w:sz w:val="20"/>
                <w:szCs w:val="20"/>
              </w:rPr>
            </w:pPr>
            <w:r w:rsidRPr="00612B98">
              <w:rPr>
                <w:color w:val="6E3B96"/>
                <w:sz w:val="20"/>
                <w:szCs w:val="20"/>
              </w:rPr>
              <w:lastRenderedPageBreak/>
              <w:t xml:space="preserve">Based on </w:t>
            </w:r>
          </w:p>
          <w:p w14:paraId="0C58EA7B" w14:textId="6BD9BA34" w:rsidR="00D33BAF" w:rsidRPr="00612B98" w:rsidRDefault="00D33BAF" w:rsidP="00DC2D52">
            <w:pPr>
              <w:pStyle w:val="TBLSIDEHEADTables"/>
              <w:spacing w:after="0" w:line="240" w:lineRule="auto"/>
              <w:jc w:val="right"/>
              <w:rPr>
                <w:sz w:val="20"/>
                <w:szCs w:val="20"/>
              </w:rPr>
            </w:pPr>
            <w:r w:rsidRPr="00612B98">
              <w:rPr>
                <w:color w:val="6E3B96"/>
                <w:sz w:val="20"/>
                <w:szCs w:val="20"/>
              </w:rPr>
              <w:t>Evidence</w:t>
            </w:r>
          </w:p>
        </w:tc>
        <w:tc>
          <w:tcPr>
            <w:tcW w:w="1942" w:type="dxa"/>
            <w:tcBorders>
              <w:top w:val="dotted" w:sz="8" w:space="0" w:color="6E3B96"/>
              <w:left w:val="single" w:sz="4" w:space="0" w:color="6E3B96"/>
              <w:bottom w:val="dotted" w:sz="6" w:space="0" w:color="6E3B96"/>
              <w:right w:val="single" w:sz="4" w:space="0" w:color="6E3B96"/>
            </w:tcBorders>
            <w:shd w:val="solid" w:color="FFFFFF" w:fill="auto"/>
            <w:tcMar>
              <w:top w:w="120" w:type="dxa"/>
              <w:left w:w="120" w:type="dxa"/>
              <w:bottom w:w="120" w:type="dxa"/>
              <w:right w:w="120" w:type="dxa"/>
            </w:tcMar>
          </w:tcPr>
          <w:p w14:paraId="4A28231C" w14:textId="77777777" w:rsidR="00D33BAF" w:rsidRPr="00612B98" w:rsidRDefault="00D33BAF" w:rsidP="00612B98">
            <w:pPr>
              <w:pStyle w:val="TBLBODYTables"/>
              <w:spacing w:after="0" w:line="240" w:lineRule="auto"/>
              <w:rPr>
                <w:sz w:val="16"/>
                <w:szCs w:val="16"/>
              </w:rPr>
            </w:pPr>
            <w:r w:rsidRPr="00612B98">
              <w:rPr>
                <w:sz w:val="16"/>
                <w:szCs w:val="16"/>
              </w:rPr>
              <w:t>Weak baseline for monitoring. EMIS and M&amp;E data not robust (e.g., inaccurate; outdated; not disaggregated by region, gender, ethnicity, socio-economic level).</w:t>
            </w:r>
          </w:p>
          <w:p w14:paraId="00D7CC62" w14:textId="649F1923" w:rsidR="00D33BAF" w:rsidRDefault="00D33BAF" w:rsidP="00612B98">
            <w:pPr>
              <w:pStyle w:val="TBLBODYTables"/>
              <w:spacing w:after="0" w:line="240" w:lineRule="auto"/>
              <w:rPr>
                <w:sz w:val="16"/>
                <w:szCs w:val="16"/>
              </w:rPr>
            </w:pPr>
            <w:r w:rsidRPr="00612B98">
              <w:rPr>
                <w:sz w:val="16"/>
                <w:szCs w:val="16"/>
              </w:rPr>
              <w:t xml:space="preserve">Low information transparency. Weak financial reporting on government and development partner investments. Lack of reporting from sub-national level, CSOs, NGOs. </w:t>
            </w:r>
          </w:p>
          <w:p w14:paraId="46944A40" w14:textId="77777777" w:rsidR="00612B98" w:rsidRPr="00612B98" w:rsidRDefault="00612B98" w:rsidP="00612B98">
            <w:pPr>
              <w:pStyle w:val="TBLBODYTables"/>
              <w:spacing w:after="0" w:line="240" w:lineRule="auto"/>
              <w:rPr>
                <w:sz w:val="16"/>
                <w:szCs w:val="16"/>
              </w:rPr>
            </w:pPr>
          </w:p>
          <w:p w14:paraId="71C86B98" w14:textId="6F49589F" w:rsidR="00D33BAF" w:rsidRPr="00612B98" w:rsidRDefault="00612B98" w:rsidP="00612B98">
            <w:pPr>
              <w:pStyle w:val="TBLBODYTables"/>
              <w:spacing w:after="0" w:line="240" w:lineRule="auto"/>
              <w:rPr>
                <w:sz w:val="20"/>
                <w:szCs w:val="20"/>
              </w:rPr>
            </w:pPr>
            <w:r>
              <w:rPr>
                <w:sz w:val="16"/>
                <w:szCs w:val="16"/>
              </w:rPr>
              <w:t xml:space="preserve">Poor </w:t>
            </w:r>
            <w:r w:rsidR="00D33BAF" w:rsidRPr="00612B98">
              <w:rPr>
                <w:sz w:val="16"/>
                <w:szCs w:val="16"/>
              </w:rPr>
              <w:t>quality annual report, or no report.</w:t>
            </w:r>
          </w:p>
        </w:tc>
        <w:tc>
          <w:tcPr>
            <w:tcW w:w="1928" w:type="dxa"/>
            <w:tcBorders>
              <w:top w:val="dotted" w:sz="8" w:space="0" w:color="6E3B96"/>
              <w:left w:val="single" w:sz="4" w:space="0" w:color="6E3B96"/>
              <w:bottom w:val="dotted" w:sz="6" w:space="0" w:color="6E3B96"/>
              <w:right w:val="single" w:sz="4" w:space="0" w:color="6E3B96"/>
            </w:tcBorders>
            <w:shd w:val="solid" w:color="FFFFFF" w:fill="auto"/>
            <w:tcMar>
              <w:top w:w="120" w:type="dxa"/>
              <w:left w:w="120" w:type="dxa"/>
              <w:bottom w:w="120" w:type="dxa"/>
              <w:right w:w="120" w:type="dxa"/>
            </w:tcMar>
          </w:tcPr>
          <w:p w14:paraId="30D49591" w14:textId="77777777" w:rsidR="00D33BAF" w:rsidRDefault="00D33BAF" w:rsidP="00612B98">
            <w:pPr>
              <w:pStyle w:val="TBLBODYTables"/>
              <w:spacing w:after="0" w:line="240" w:lineRule="auto"/>
              <w:rPr>
                <w:sz w:val="16"/>
                <w:szCs w:val="16"/>
              </w:rPr>
            </w:pPr>
            <w:r>
              <w:rPr>
                <w:sz w:val="16"/>
                <w:szCs w:val="16"/>
              </w:rPr>
              <w:t>Data still not robust, but broader data contributed by stakeholders (although not all integrated into main JSR documents).</w:t>
            </w:r>
          </w:p>
          <w:p w14:paraId="667A978B" w14:textId="77777777" w:rsidR="00D33BAF" w:rsidRDefault="00D33BAF" w:rsidP="00612B98">
            <w:pPr>
              <w:pStyle w:val="TBLBODYTables"/>
              <w:spacing w:after="0" w:line="240" w:lineRule="auto"/>
            </w:pPr>
            <w:r>
              <w:rPr>
                <w:sz w:val="16"/>
                <w:szCs w:val="16"/>
              </w:rPr>
              <w:t>Annual implementation report accompanied by financial reporting, complementary studies, etc. However, report quality impinged by data quality and technical capacities. Drafting guidelines developed.</w:t>
            </w:r>
          </w:p>
        </w:tc>
        <w:tc>
          <w:tcPr>
            <w:tcW w:w="2160" w:type="dxa"/>
            <w:tcBorders>
              <w:top w:val="dotted" w:sz="8" w:space="0" w:color="6E3B96"/>
              <w:left w:val="single" w:sz="4" w:space="0" w:color="6E3B96"/>
              <w:bottom w:val="dotted" w:sz="6" w:space="0" w:color="6E3B96"/>
              <w:right w:val="single" w:sz="4" w:space="0" w:color="6E3B96"/>
            </w:tcBorders>
            <w:shd w:val="solid" w:color="FFFFFF" w:fill="auto"/>
            <w:tcMar>
              <w:top w:w="120" w:type="dxa"/>
              <w:left w:w="120" w:type="dxa"/>
              <w:bottom w:w="120" w:type="dxa"/>
              <w:right w:w="120" w:type="dxa"/>
            </w:tcMar>
          </w:tcPr>
          <w:p w14:paraId="08148E5C" w14:textId="77777777" w:rsidR="00D33BAF" w:rsidRDefault="00D33BAF" w:rsidP="00612B98">
            <w:pPr>
              <w:pStyle w:val="TBLBODYTables"/>
              <w:spacing w:after="0" w:line="240" w:lineRule="auto"/>
              <w:rPr>
                <w:sz w:val="16"/>
                <w:szCs w:val="16"/>
              </w:rPr>
            </w:pPr>
            <w:r>
              <w:rPr>
                <w:sz w:val="16"/>
                <w:szCs w:val="16"/>
              </w:rPr>
              <w:t>JSR based on verifiable evidence sourced through variety of stakeholders. Information clearly attributed, referenced, unbiased and transparent.</w:t>
            </w:r>
          </w:p>
          <w:p w14:paraId="17A61141" w14:textId="77777777" w:rsidR="00D33BAF" w:rsidRDefault="00D33BAF" w:rsidP="00612B98">
            <w:pPr>
              <w:pStyle w:val="TBLBODYTables"/>
              <w:spacing w:after="0" w:line="240" w:lineRule="auto"/>
            </w:pPr>
            <w:r>
              <w:rPr>
                <w:sz w:val="16"/>
                <w:szCs w:val="16"/>
              </w:rPr>
              <w:t>JSR documentation quality assured through planning, dedicated capacity development, and peer review.</w:t>
            </w:r>
          </w:p>
        </w:tc>
        <w:tc>
          <w:tcPr>
            <w:tcW w:w="2070" w:type="dxa"/>
            <w:tcBorders>
              <w:top w:val="dotted" w:sz="8" w:space="0" w:color="6E3B96"/>
              <w:left w:val="single" w:sz="4" w:space="0" w:color="6E3B96"/>
              <w:bottom w:val="dotted" w:sz="6" w:space="0" w:color="6E3B96"/>
              <w:right w:val="single" w:sz="4" w:space="0" w:color="6E3B96"/>
            </w:tcBorders>
            <w:shd w:val="solid" w:color="FFFFFF" w:fill="auto"/>
            <w:tcMar>
              <w:top w:w="120" w:type="dxa"/>
              <w:left w:w="120" w:type="dxa"/>
              <w:bottom w:w="120" w:type="dxa"/>
              <w:right w:w="120" w:type="dxa"/>
            </w:tcMar>
          </w:tcPr>
          <w:p w14:paraId="58F09612" w14:textId="77777777" w:rsidR="00D33BAF" w:rsidRDefault="00D33BAF" w:rsidP="00612B98">
            <w:pPr>
              <w:pStyle w:val="TBLBODYTables"/>
              <w:spacing w:after="0" w:line="240" w:lineRule="auto"/>
              <w:rPr>
                <w:sz w:val="16"/>
                <w:szCs w:val="16"/>
              </w:rPr>
            </w:pPr>
            <w:r>
              <w:rPr>
                <w:sz w:val="16"/>
                <w:szCs w:val="16"/>
              </w:rPr>
              <w:t>JSR fed by year-round data collection and analysis. Evidence base regularly updated and aligned with ESP/TEP.</w:t>
            </w:r>
          </w:p>
          <w:p w14:paraId="20BA17DE" w14:textId="77777777" w:rsidR="00D33BAF" w:rsidRDefault="00D33BAF" w:rsidP="00612B98">
            <w:pPr>
              <w:pStyle w:val="TBLBODYTables"/>
              <w:spacing w:after="0" w:line="240" w:lineRule="auto"/>
            </w:pPr>
            <w:r>
              <w:rPr>
                <w:sz w:val="16"/>
                <w:szCs w:val="16"/>
              </w:rPr>
              <w:t>Regular availability of good quality JSR documentation (e.g., implementation updates, financial reports, specially commissioned thematic studies).</w:t>
            </w:r>
          </w:p>
        </w:tc>
        <w:tc>
          <w:tcPr>
            <w:tcW w:w="2520" w:type="dxa"/>
            <w:tcBorders>
              <w:top w:val="dotted" w:sz="8" w:space="0" w:color="6E3B96"/>
              <w:left w:val="single" w:sz="4" w:space="0" w:color="6E3B96"/>
              <w:bottom w:val="dotted" w:sz="6" w:space="0" w:color="6E3B96"/>
              <w:right w:val="single" w:sz="4" w:space="0" w:color="6E3B96"/>
            </w:tcBorders>
            <w:shd w:val="solid" w:color="FFFFFF" w:fill="auto"/>
            <w:tcMar>
              <w:top w:w="140" w:type="dxa"/>
              <w:left w:w="80" w:type="dxa"/>
              <w:bottom w:w="140" w:type="dxa"/>
              <w:right w:w="90" w:type="dxa"/>
            </w:tcMar>
          </w:tcPr>
          <w:p w14:paraId="1E3265A2" w14:textId="41F160BA" w:rsidR="00D33BAF" w:rsidRDefault="00D33BAF" w:rsidP="00612B98">
            <w:pPr>
              <w:pStyle w:val="TBLBODYTables"/>
              <w:spacing w:after="0" w:line="240" w:lineRule="auto"/>
              <w:ind w:right="720"/>
              <w:rPr>
                <w:sz w:val="16"/>
                <w:szCs w:val="16"/>
              </w:rPr>
            </w:pPr>
            <w:r>
              <w:rPr>
                <w:sz w:val="16"/>
                <w:szCs w:val="16"/>
              </w:rPr>
              <w:t>Metrics and stakeholder feedback on use of data used to drive continuous improvements in data gathering and production of review documents.</w:t>
            </w:r>
          </w:p>
          <w:p w14:paraId="6418937D" w14:textId="77777777" w:rsidR="00612B98" w:rsidRDefault="00612B98" w:rsidP="00612B98">
            <w:pPr>
              <w:pStyle w:val="TBLBODYTables"/>
              <w:spacing w:after="0" w:line="240" w:lineRule="auto"/>
              <w:ind w:right="720"/>
              <w:rPr>
                <w:sz w:val="16"/>
                <w:szCs w:val="16"/>
              </w:rPr>
            </w:pPr>
          </w:p>
          <w:p w14:paraId="0E71C45B" w14:textId="77777777" w:rsidR="00D33BAF" w:rsidRDefault="00D33BAF" w:rsidP="00612B98">
            <w:pPr>
              <w:pStyle w:val="TBLBODYTables"/>
              <w:spacing w:after="0" w:line="240" w:lineRule="auto"/>
              <w:ind w:right="720"/>
            </w:pPr>
            <w:r>
              <w:rPr>
                <w:sz w:val="16"/>
                <w:szCs w:val="16"/>
              </w:rPr>
              <w:t xml:space="preserve">JSR evidence contributes to strengthened EMIS and M&amp;E capacities by supporting capacity development and flagging urgent deficits in M&amp;E data. </w:t>
            </w:r>
          </w:p>
        </w:tc>
      </w:tr>
      <w:tr w:rsidR="00D33BAF" w14:paraId="449C2CF0" w14:textId="77777777" w:rsidTr="008B501E">
        <w:trPr>
          <w:trHeight w:val="2329"/>
        </w:trPr>
        <w:tc>
          <w:tcPr>
            <w:tcW w:w="1890" w:type="dxa"/>
            <w:tcBorders>
              <w:top w:val="dotted" w:sz="6" w:space="0" w:color="6E3B96"/>
              <w:left w:val="single" w:sz="4" w:space="0" w:color="6E3B96"/>
              <w:bottom w:val="dotted" w:sz="6" w:space="0" w:color="6E3B96"/>
              <w:right w:val="single" w:sz="4" w:space="0" w:color="6E3B96"/>
            </w:tcBorders>
            <w:shd w:val="clear" w:color="auto" w:fill="CDB5DC" w:themeFill="accent1" w:themeFillTint="99"/>
            <w:tcMar>
              <w:top w:w="120" w:type="dxa"/>
              <w:left w:w="120" w:type="dxa"/>
              <w:bottom w:w="120" w:type="dxa"/>
              <w:right w:w="120" w:type="dxa"/>
            </w:tcMar>
          </w:tcPr>
          <w:p w14:paraId="01FC028A" w14:textId="77777777" w:rsidR="00612B98" w:rsidRDefault="00612B98" w:rsidP="008B501E">
            <w:pPr>
              <w:pStyle w:val="TBLSIDEHEADTables"/>
              <w:spacing w:after="0"/>
              <w:jc w:val="right"/>
              <w:rPr>
                <w:color w:val="6E3B96"/>
                <w:sz w:val="20"/>
                <w:szCs w:val="20"/>
              </w:rPr>
            </w:pPr>
            <w:r w:rsidRPr="00612B98">
              <w:rPr>
                <w:color w:val="6E3B96"/>
                <w:sz w:val="20"/>
                <w:szCs w:val="20"/>
              </w:rPr>
              <w:t xml:space="preserve"> Monitoring </w:t>
            </w:r>
          </w:p>
          <w:p w14:paraId="701B3D4E" w14:textId="776F4020" w:rsidR="00D33BAF" w:rsidRPr="008B501E" w:rsidRDefault="00612B98" w:rsidP="008B501E">
            <w:pPr>
              <w:pStyle w:val="TBLSIDEHEADTables"/>
              <w:spacing w:after="0"/>
              <w:jc w:val="right"/>
              <w:rPr>
                <w:color w:val="6E3B96"/>
                <w:sz w:val="20"/>
                <w:szCs w:val="20"/>
              </w:rPr>
            </w:pPr>
            <w:r w:rsidRPr="00612B98">
              <w:rPr>
                <w:color w:val="6E3B96"/>
                <w:sz w:val="20"/>
                <w:szCs w:val="20"/>
              </w:rPr>
              <w:t>t</w:t>
            </w:r>
            <w:r w:rsidR="00D33BAF" w:rsidRPr="00612B98">
              <w:rPr>
                <w:color w:val="6E3B96"/>
                <w:sz w:val="20"/>
                <w:szCs w:val="20"/>
              </w:rPr>
              <w:t>ool</w:t>
            </w:r>
          </w:p>
        </w:tc>
        <w:tc>
          <w:tcPr>
            <w:tcW w:w="1942" w:type="dxa"/>
            <w:tcBorders>
              <w:top w:val="dotted" w:sz="6" w:space="0" w:color="6E3B96"/>
              <w:left w:val="single" w:sz="4" w:space="0" w:color="6E3B96"/>
              <w:bottom w:val="dotted" w:sz="6" w:space="0" w:color="6E3B96"/>
              <w:right w:val="single" w:sz="4" w:space="0" w:color="6E3B96"/>
            </w:tcBorders>
            <w:shd w:val="solid" w:color="FFFFFF" w:fill="auto"/>
            <w:tcMar>
              <w:top w:w="120" w:type="dxa"/>
              <w:left w:w="120" w:type="dxa"/>
              <w:bottom w:w="120" w:type="dxa"/>
              <w:right w:w="120" w:type="dxa"/>
            </w:tcMar>
          </w:tcPr>
          <w:p w14:paraId="600BD7F7" w14:textId="0092DD98" w:rsidR="00D33BAF" w:rsidRDefault="00D33BAF" w:rsidP="00612B98">
            <w:pPr>
              <w:pStyle w:val="TBLBODYTables"/>
              <w:spacing w:after="0" w:line="240" w:lineRule="auto"/>
              <w:rPr>
                <w:sz w:val="16"/>
                <w:szCs w:val="16"/>
              </w:rPr>
            </w:pPr>
            <w:r>
              <w:rPr>
                <w:sz w:val="16"/>
                <w:szCs w:val="16"/>
              </w:rPr>
              <w:t xml:space="preserve">JSR organized on ad-hoc basis. No standardization of processes, resulting in reactive decision making and unpredictability. </w:t>
            </w:r>
          </w:p>
          <w:p w14:paraId="1D4BC50C" w14:textId="77777777" w:rsidR="00612B98" w:rsidRDefault="00612B98" w:rsidP="00612B98">
            <w:pPr>
              <w:pStyle w:val="TBLBODYTables"/>
              <w:spacing w:after="0" w:line="240" w:lineRule="auto"/>
              <w:rPr>
                <w:sz w:val="16"/>
                <w:szCs w:val="16"/>
              </w:rPr>
            </w:pPr>
          </w:p>
          <w:p w14:paraId="4168F7AC" w14:textId="77777777" w:rsidR="00D33BAF" w:rsidRDefault="00D33BAF" w:rsidP="00612B98">
            <w:pPr>
              <w:pStyle w:val="TBLBODYTables"/>
              <w:spacing w:after="0" w:line="240" w:lineRule="auto"/>
            </w:pPr>
            <w:r>
              <w:rPr>
                <w:sz w:val="16"/>
                <w:szCs w:val="16"/>
              </w:rPr>
              <w:t>Weak buy-in to, and accountability for, review process and findings.</w:t>
            </w:r>
          </w:p>
        </w:tc>
        <w:tc>
          <w:tcPr>
            <w:tcW w:w="1928" w:type="dxa"/>
            <w:tcBorders>
              <w:top w:val="dotted" w:sz="6" w:space="0" w:color="6E3B96"/>
              <w:left w:val="single" w:sz="4" w:space="0" w:color="6E3B96"/>
              <w:bottom w:val="dotted" w:sz="6" w:space="0" w:color="6E3B96"/>
              <w:right w:val="single" w:sz="4" w:space="0" w:color="6E3B96"/>
            </w:tcBorders>
            <w:shd w:val="solid" w:color="FFFFFF" w:fill="auto"/>
            <w:tcMar>
              <w:top w:w="120" w:type="dxa"/>
              <w:left w:w="120" w:type="dxa"/>
              <w:bottom w:w="120" w:type="dxa"/>
              <w:right w:w="120" w:type="dxa"/>
            </w:tcMar>
          </w:tcPr>
          <w:p w14:paraId="72F24C43" w14:textId="15397366" w:rsidR="00D33BAF" w:rsidRDefault="00D33BAF" w:rsidP="00612B98">
            <w:pPr>
              <w:pStyle w:val="TBLBODYTables"/>
              <w:spacing w:after="0" w:line="240" w:lineRule="auto"/>
              <w:rPr>
                <w:sz w:val="16"/>
                <w:szCs w:val="16"/>
              </w:rPr>
            </w:pPr>
            <w:r>
              <w:rPr>
                <w:sz w:val="16"/>
                <w:szCs w:val="16"/>
              </w:rPr>
              <w:t xml:space="preserve">JSRs undertaken more regularly. Some parts of JSR process repeatable through standardized </w:t>
            </w:r>
            <w:proofErr w:type="spellStart"/>
            <w:r>
              <w:rPr>
                <w:sz w:val="16"/>
                <w:szCs w:val="16"/>
              </w:rPr>
              <w:t>ToR</w:t>
            </w:r>
            <w:proofErr w:type="spellEnd"/>
            <w:r>
              <w:rPr>
                <w:sz w:val="16"/>
                <w:szCs w:val="16"/>
              </w:rPr>
              <w:t xml:space="preserve">. </w:t>
            </w:r>
          </w:p>
          <w:p w14:paraId="580CDD4E" w14:textId="77777777" w:rsidR="00612B98" w:rsidRDefault="00612B98" w:rsidP="00612B98">
            <w:pPr>
              <w:pStyle w:val="TBLBODYTables"/>
              <w:spacing w:after="0" w:line="240" w:lineRule="auto"/>
              <w:rPr>
                <w:sz w:val="16"/>
                <w:szCs w:val="16"/>
              </w:rPr>
            </w:pPr>
          </w:p>
          <w:p w14:paraId="54648AD1" w14:textId="77777777" w:rsidR="00D33BAF" w:rsidRDefault="00D33BAF" w:rsidP="00612B98">
            <w:pPr>
              <w:pStyle w:val="TBLBODYTables"/>
              <w:spacing w:after="0" w:line="240" w:lineRule="auto"/>
            </w:pPr>
            <w:r>
              <w:rPr>
                <w:sz w:val="16"/>
                <w:szCs w:val="16"/>
              </w:rPr>
              <w:t xml:space="preserve">Decision-making sound and work flows improving with some training available, but weak metrics on JSR effectiveness. </w:t>
            </w:r>
          </w:p>
        </w:tc>
        <w:tc>
          <w:tcPr>
            <w:tcW w:w="2160" w:type="dxa"/>
            <w:tcBorders>
              <w:top w:val="dotted" w:sz="6" w:space="0" w:color="6E3B96"/>
              <w:left w:val="single" w:sz="4" w:space="0" w:color="6E3B96"/>
              <w:bottom w:val="dotted" w:sz="6" w:space="0" w:color="6E3B96"/>
              <w:right w:val="single" w:sz="4" w:space="0" w:color="6E3B96"/>
            </w:tcBorders>
            <w:shd w:val="solid" w:color="FFFFFF" w:fill="auto"/>
            <w:tcMar>
              <w:top w:w="120" w:type="dxa"/>
              <w:left w:w="120" w:type="dxa"/>
              <w:bottom w:w="120" w:type="dxa"/>
              <w:right w:w="120" w:type="dxa"/>
            </w:tcMar>
          </w:tcPr>
          <w:p w14:paraId="302E6418" w14:textId="77777777" w:rsidR="00D33BAF" w:rsidRDefault="00D33BAF" w:rsidP="00612B98">
            <w:pPr>
              <w:pStyle w:val="TBLBODYTables"/>
              <w:spacing w:after="0" w:line="240" w:lineRule="auto"/>
              <w:rPr>
                <w:sz w:val="16"/>
                <w:szCs w:val="16"/>
              </w:rPr>
            </w:pPr>
            <w:r>
              <w:rPr>
                <w:sz w:val="16"/>
                <w:szCs w:val="16"/>
              </w:rPr>
              <w:t xml:space="preserve">JSRs undertaken regularly and gaining momentum. </w:t>
            </w:r>
          </w:p>
          <w:p w14:paraId="7EC2C355" w14:textId="77777777" w:rsidR="00D33BAF" w:rsidRDefault="00D33BAF" w:rsidP="00612B98">
            <w:pPr>
              <w:pStyle w:val="TBLBODYTables"/>
              <w:spacing w:after="0" w:line="240" w:lineRule="auto"/>
              <w:rPr>
                <w:sz w:val="16"/>
                <w:szCs w:val="16"/>
              </w:rPr>
            </w:pPr>
            <w:r>
              <w:rPr>
                <w:sz w:val="16"/>
                <w:szCs w:val="16"/>
              </w:rPr>
              <w:t xml:space="preserve">Well-defined </w:t>
            </w:r>
            <w:proofErr w:type="spellStart"/>
            <w:r>
              <w:rPr>
                <w:sz w:val="16"/>
                <w:szCs w:val="16"/>
              </w:rPr>
              <w:t>ToR</w:t>
            </w:r>
            <w:proofErr w:type="spellEnd"/>
            <w:r>
              <w:rPr>
                <w:sz w:val="16"/>
                <w:szCs w:val="16"/>
              </w:rPr>
              <w:t xml:space="preserve"> with repeatable processes (expected roles and tasks in evidence gathering, implementation report drafting, aide-memoire).</w:t>
            </w:r>
          </w:p>
          <w:p w14:paraId="10CC932F" w14:textId="77777777" w:rsidR="00D33BAF" w:rsidRDefault="00D33BAF" w:rsidP="00612B98">
            <w:pPr>
              <w:pStyle w:val="TBLBODYTables"/>
              <w:spacing w:after="0" w:line="240" w:lineRule="auto"/>
            </w:pPr>
            <w:r>
              <w:rPr>
                <w:sz w:val="16"/>
                <w:szCs w:val="16"/>
              </w:rPr>
              <w:t>Well-defined metrics for measuring JSR process quality and M&amp;E effectiveness.</w:t>
            </w:r>
          </w:p>
        </w:tc>
        <w:tc>
          <w:tcPr>
            <w:tcW w:w="2070" w:type="dxa"/>
            <w:tcBorders>
              <w:top w:val="dotted" w:sz="6" w:space="0" w:color="6E3B96"/>
              <w:left w:val="single" w:sz="4" w:space="0" w:color="6E3B96"/>
              <w:bottom w:val="dotted" w:sz="6" w:space="0" w:color="6E3B96"/>
              <w:right w:val="single" w:sz="4" w:space="0" w:color="6E3B96"/>
            </w:tcBorders>
            <w:shd w:val="solid" w:color="FFFFFF" w:fill="auto"/>
            <w:tcMar>
              <w:top w:w="120" w:type="dxa"/>
              <w:left w:w="120" w:type="dxa"/>
              <w:bottom w:w="120" w:type="dxa"/>
              <w:right w:w="120" w:type="dxa"/>
            </w:tcMar>
          </w:tcPr>
          <w:p w14:paraId="13373CEE" w14:textId="30906F5B" w:rsidR="00D33BAF" w:rsidRDefault="00D33BAF" w:rsidP="00612B98">
            <w:pPr>
              <w:pStyle w:val="TBLBODYTables"/>
              <w:spacing w:after="0" w:line="240" w:lineRule="auto"/>
              <w:rPr>
                <w:sz w:val="16"/>
                <w:szCs w:val="16"/>
              </w:rPr>
            </w:pPr>
            <w:r>
              <w:rPr>
                <w:sz w:val="16"/>
                <w:szCs w:val="16"/>
              </w:rPr>
              <w:t xml:space="preserve">Well-managed JSR process now part of year-round M&amp;E culture and integrated within a single monitoring system. </w:t>
            </w:r>
          </w:p>
          <w:p w14:paraId="300CB154" w14:textId="77777777" w:rsidR="00612B98" w:rsidRDefault="00612B98" w:rsidP="00612B98">
            <w:pPr>
              <w:pStyle w:val="TBLBODYTables"/>
              <w:spacing w:after="0" w:line="240" w:lineRule="auto"/>
              <w:rPr>
                <w:sz w:val="16"/>
                <w:szCs w:val="16"/>
              </w:rPr>
            </w:pPr>
          </w:p>
          <w:p w14:paraId="49293B8B" w14:textId="77777777" w:rsidR="00D33BAF" w:rsidRDefault="00D33BAF" w:rsidP="00612B98">
            <w:pPr>
              <w:pStyle w:val="TBLBODYTables"/>
              <w:spacing w:after="0" w:line="240" w:lineRule="auto"/>
            </w:pPr>
            <w:r>
              <w:rPr>
                <w:sz w:val="16"/>
                <w:szCs w:val="16"/>
              </w:rPr>
              <w:t xml:space="preserve">Metrics and self-assessments exploited to identify inefficiencies, risks, and effectiveness. </w:t>
            </w:r>
          </w:p>
        </w:tc>
        <w:tc>
          <w:tcPr>
            <w:tcW w:w="2520" w:type="dxa"/>
            <w:tcBorders>
              <w:top w:val="dotted" w:sz="6" w:space="0" w:color="6E3B96"/>
              <w:left w:val="single" w:sz="4" w:space="0" w:color="6E3B96"/>
              <w:bottom w:val="dotted" w:sz="6" w:space="0" w:color="6E3B96"/>
              <w:right w:val="single" w:sz="4" w:space="0" w:color="6E3B96"/>
            </w:tcBorders>
            <w:shd w:val="solid" w:color="FFFFFF" w:fill="auto"/>
            <w:tcMar>
              <w:top w:w="140" w:type="dxa"/>
              <w:left w:w="80" w:type="dxa"/>
              <w:bottom w:w="140" w:type="dxa"/>
              <w:right w:w="90" w:type="dxa"/>
            </w:tcMar>
          </w:tcPr>
          <w:p w14:paraId="4DDE2F78" w14:textId="71FBB0FD" w:rsidR="00D33BAF" w:rsidRDefault="00D33BAF" w:rsidP="00612B98">
            <w:pPr>
              <w:pStyle w:val="TBLBODYTables"/>
              <w:spacing w:after="0" w:line="240" w:lineRule="auto"/>
              <w:ind w:right="540"/>
              <w:rPr>
                <w:sz w:val="16"/>
                <w:szCs w:val="16"/>
              </w:rPr>
            </w:pPr>
            <w:r>
              <w:rPr>
                <w:sz w:val="16"/>
                <w:szCs w:val="16"/>
              </w:rPr>
              <w:t xml:space="preserve">JSRs part of a continuous monitoring cycle. </w:t>
            </w:r>
          </w:p>
          <w:p w14:paraId="5FC1D311" w14:textId="77777777" w:rsidR="00612B98" w:rsidRDefault="00612B98" w:rsidP="00612B98">
            <w:pPr>
              <w:pStyle w:val="TBLBODYTables"/>
              <w:spacing w:after="0" w:line="240" w:lineRule="auto"/>
              <w:ind w:right="540"/>
              <w:rPr>
                <w:sz w:val="16"/>
                <w:szCs w:val="16"/>
              </w:rPr>
            </w:pPr>
          </w:p>
          <w:p w14:paraId="5FCFDE9E" w14:textId="77777777" w:rsidR="00D33BAF" w:rsidRDefault="00D33BAF" w:rsidP="00612B98">
            <w:pPr>
              <w:pStyle w:val="TBLBODYTables"/>
              <w:spacing w:after="0" w:line="240" w:lineRule="auto"/>
              <w:ind w:right="540"/>
            </w:pPr>
            <w:r>
              <w:rPr>
                <w:sz w:val="16"/>
                <w:szCs w:val="16"/>
              </w:rPr>
              <w:t xml:space="preserve">JSR metrics analysis and stakeholder feedback drives continuous improvements in JSR processes, ESP/TEP implementation, and M&amp;E systems. </w:t>
            </w:r>
          </w:p>
        </w:tc>
      </w:tr>
      <w:tr w:rsidR="00D33BAF" w14:paraId="54762332" w14:textId="77777777" w:rsidTr="00612B98">
        <w:trPr>
          <w:trHeight w:val="60"/>
        </w:trPr>
        <w:tc>
          <w:tcPr>
            <w:tcW w:w="1890" w:type="dxa"/>
            <w:tcBorders>
              <w:top w:val="dotted" w:sz="6" w:space="0" w:color="6E3B96"/>
              <w:left w:val="single" w:sz="4" w:space="0" w:color="6E3B96"/>
              <w:bottom w:val="single" w:sz="4" w:space="0" w:color="6E3B96"/>
              <w:right w:val="single" w:sz="4" w:space="0" w:color="6E3B96"/>
            </w:tcBorders>
            <w:shd w:val="clear" w:color="auto" w:fill="CDB5DC" w:themeFill="accent1" w:themeFillTint="99"/>
            <w:tcMar>
              <w:top w:w="120" w:type="dxa"/>
              <w:left w:w="120" w:type="dxa"/>
              <w:bottom w:w="240" w:type="dxa"/>
              <w:right w:w="120" w:type="dxa"/>
            </w:tcMar>
          </w:tcPr>
          <w:p w14:paraId="3674CF5A" w14:textId="0B5CE7FE" w:rsidR="00D33BAF" w:rsidRPr="008B501E" w:rsidRDefault="00D33BAF" w:rsidP="00DC2D52">
            <w:pPr>
              <w:pStyle w:val="TBLSIDEHEADTables"/>
              <w:jc w:val="right"/>
              <w:rPr>
                <w:color w:val="6E3B96"/>
                <w:sz w:val="20"/>
                <w:szCs w:val="20"/>
              </w:rPr>
            </w:pPr>
            <w:r w:rsidRPr="00612B98">
              <w:rPr>
                <w:color w:val="6E3B96"/>
                <w:sz w:val="20"/>
                <w:szCs w:val="20"/>
              </w:rPr>
              <w:t>Instrument for Change</w:t>
            </w:r>
          </w:p>
        </w:tc>
        <w:tc>
          <w:tcPr>
            <w:tcW w:w="1942" w:type="dxa"/>
            <w:tcBorders>
              <w:top w:val="dotted" w:sz="6" w:space="0" w:color="6E3B96"/>
              <w:left w:val="single" w:sz="4" w:space="0" w:color="6E3B96"/>
              <w:bottom w:val="single" w:sz="4" w:space="0" w:color="6E3B96"/>
              <w:right w:val="single" w:sz="4" w:space="0" w:color="6E3B96"/>
            </w:tcBorders>
            <w:shd w:val="solid" w:color="FFFFFF" w:fill="auto"/>
            <w:tcMar>
              <w:top w:w="120" w:type="dxa"/>
              <w:left w:w="120" w:type="dxa"/>
              <w:bottom w:w="240" w:type="dxa"/>
              <w:right w:w="120" w:type="dxa"/>
            </w:tcMar>
          </w:tcPr>
          <w:p w14:paraId="3A437335" w14:textId="7ED31301" w:rsidR="00D33BAF" w:rsidRDefault="00D33BAF" w:rsidP="00612B98">
            <w:pPr>
              <w:pStyle w:val="TBLBODYTables"/>
              <w:spacing w:after="0" w:line="240" w:lineRule="auto"/>
              <w:rPr>
                <w:sz w:val="16"/>
                <w:szCs w:val="16"/>
              </w:rPr>
            </w:pPr>
            <w:r>
              <w:rPr>
                <w:sz w:val="16"/>
                <w:szCs w:val="16"/>
              </w:rPr>
              <w:t xml:space="preserve">No dedicated government staff and resources assigned to the JSR process. </w:t>
            </w:r>
          </w:p>
          <w:p w14:paraId="028D1B2B" w14:textId="77777777" w:rsidR="00612B98" w:rsidRDefault="00612B98" w:rsidP="00612B98">
            <w:pPr>
              <w:pStyle w:val="TBLBODYTables"/>
              <w:spacing w:after="0" w:line="240" w:lineRule="auto"/>
              <w:rPr>
                <w:sz w:val="16"/>
                <w:szCs w:val="16"/>
              </w:rPr>
            </w:pPr>
          </w:p>
          <w:p w14:paraId="7B33A732" w14:textId="77777777" w:rsidR="00612B98" w:rsidRPr="00612B98" w:rsidRDefault="00612B98" w:rsidP="00612B98">
            <w:pPr>
              <w:pStyle w:val="TBLBODYTables"/>
              <w:spacing w:after="0" w:line="240" w:lineRule="auto"/>
              <w:rPr>
                <w:sz w:val="4"/>
                <w:szCs w:val="4"/>
              </w:rPr>
            </w:pPr>
          </w:p>
          <w:p w14:paraId="48A784FB" w14:textId="77777777" w:rsidR="00D33BAF" w:rsidRDefault="00D33BAF" w:rsidP="00612B98">
            <w:pPr>
              <w:pStyle w:val="TBLBODYTables"/>
              <w:spacing w:after="0" w:line="240" w:lineRule="auto"/>
              <w:rPr>
                <w:sz w:val="16"/>
                <w:szCs w:val="16"/>
              </w:rPr>
            </w:pPr>
            <w:r>
              <w:rPr>
                <w:sz w:val="16"/>
                <w:szCs w:val="16"/>
              </w:rPr>
              <w:t>Lack of clarity on stakeholder responsibilities.</w:t>
            </w:r>
          </w:p>
          <w:p w14:paraId="5DA56B05" w14:textId="77777777" w:rsidR="00D33BAF" w:rsidRDefault="00D33BAF" w:rsidP="00612B98">
            <w:pPr>
              <w:pStyle w:val="TBLBODYTables"/>
              <w:spacing w:after="0" w:line="240" w:lineRule="auto"/>
            </w:pPr>
            <w:r>
              <w:rPr>
                <w:sz w:val="16"/>
                <w:szCs w:val="16"/>
              </w:rPr>
              <w:t>JSR largely supported through technical support of development partners.</w:t>
            </w:r>
          </w:p>
        </w:tc>
        <w:tc>
          <w:tcPr>
            <w:tcW w:w="1928" w:type="dxa"/>
            <w:tcBorders>
              <w:top w:val="dotted" w:sz="6" w:space="0" w:color="6E3B96"/>
              <w:left w:val="single" w:sz="4" w:space="0" w:color="6E3B96"/>
              <w:bottom w:val="single" w:sz="4" w:space="0" w:color="6E3B96"/>
              <w:right w:val="single" w:sz="4" w:space="0" w:color="6E3B96"/>
            </w:tcBorders>
            <w:shd w:val="solid" w:color="FFFFFF" w:fill="auto"/>
            <w:tcMar>
              <w:top w:w="120" w:type="dxa"/>
              <w:left w:w="120" w:type="dxa"/>
              <w:bottom w:w="240" w:type="dxa"/>
              <w:right w:w="120" w:type="dxa"/>
            </w:tcMar>
          </w:tcPr>
          <w:p w14:paraId="2E0796DA" w14:textId="7A57FDFC" w:rsidR="00D33BAF" w:rsidRDefault="00D33BAF" w:rsidP="00612B98">
            <w:pPr>
              <w:pStyle w:val="TBLBODYTables"/>
              <w:spacing w:after="0" w:line="240" w:lineRule="auto"/>
              <w:rPr>
                <w:sz w:val="16"/>
                <w:szCs w:val="16"/>
              </w:rPr>
            </w:pPr>
            <w:r>
              <w:rPr>
                <w:sz w:val="16"/>
                <w:szCs w:val="16"/>
              </w:rPr>
              <w:t xml:space="preserve">Government leadership </w:t>
            </w:r>
            <w:proofErr w:type="gramStart"/>
            <w:r>
              <w:rPr>
                <w:sz w:val="16"/>
                <w:szCs w:val="16"/>
              </w:rPr>
              <w:t>identified</w:t>
            </w:r>
            <w:proofErr w:type="gramEnd"/>
            <w:r>
              <w:rPr>
                <w:sz w:val="16"/>
                <w:szCs w:val="16"/>
              </w:rPr>
              <w:t xml:space="preserve"> and dedicated coordination structure engaged with government staff. </w:t>
            </w:r>
          </w:p>
          <w:p w14:paraId="1CB7A3B0" w14:textId="77777777" w:rsidR="00612B98" w:rsidRDefault="00612B98" w:rsidP="00612B98">
            <w:pPr>
              <w:pStyle w:val="TBLBODYTables"/>
              <w:spacing w:after="0" w:line="240" w:lineRule="auto"/>
              <w:rPr>
                <w:sz w:val="16"/>
                <w:szCs w:val="16"/>
              </w:rPr>
            </w:pPr>
          </w:p>
          <w:p w14:paraId="74330295" w14:textId="77777777" w:rsidR="00D33BAF" w:rsidRDefault="00D33BAF" w:rsidP="00612B98">
            <w:pPr>
              <w:pStyle w:val="TBLBODYTables"/>
              <w:spacing w:after="0" w:line="240" w:lineRule="auto"/>
            </w:pPr>
            <w:r>
              <w:rPr>
                <w:sz w:val="16"/>
                <w:szCs w:val="16"/>
              </w:rPr>
              <w:t>Clearer roles/responsibilities emerging with some standardization of tasks.</w:t>
            </w:r>
          </w:p>
        </w:tc>
        <w:tc>
          <w:tcPr>
            <w:tcW w:w="2160" w:type="dxa"/>
            <w:tcBorders>
              <w:top w:val="dotted" w:sz="6" w:space="0" w:color="6E3B96"/>
              <w:left w:val="single" w:sz="4" w:space="0" w:color="6E3B96"/>
              <w:bottom w:val="single" w:sz="4" w:space="0" w:color="6E3B96"/>
              <w:right w:val="single" w:sz="4" w:space="0" w:color="6E3B96"/>
            </w:tcBorders>
            <w:shd w:val="solid" w:color="FFFFFF" w:fill="auto"/>
            <w:tcMar>
              <w:top w:w="120" w:type="dxa"/>
              <w:left w:w="120" w:type="dxa"/>
              <w:bottom w:w="240" w:type="dxa"/>
              <w:right w:w="120" w:type="dxa"/>
            </w:tcMar>
          </w:tcPr>
          <w:p w14:paraId="63F702B7" w14:textId="4C0F5A26" w:rsidR="00D33BAF" w:rsidRDefault="00D33BAF" w:rsidP="00612B98">
            <w:pPr>
              <w:pStyle w:val="TBLBODYTables"/>
              <w:spacing w:after="0" w:line="240" w:lineRule="auto"/>
              <w:rPr>
                <w:sz w:val="16"/>
                <w:szCs w:val="16"/>
              </w:rPr>
            </w:pPr>
            <w:r>
              <w:rPr>
                <w:sz w:val="16"/>
                <w:szCs w:val="16"/>
              </w:rPr>
              <w:t xml:space="preserve">Strategic value of JSR recognized. Drive to fully institutionalize JSR and strengthen capacities. </w:t>
            </w:r>
          </w:p>
          <w:p w14:paraId="04023B06" w14:textId="77777777" w:rsidR="00612B98" w:rsidRDefault="00612B98" w:rsidP="00612B98">
            <w:pPr>
              <w:pStyle w:val="TBLBODYTables"/>
              <w:spacing w:after="0" w:line="240" w:lineRule="auto"/>
              <w:rPr>
                <w:sz w:val="16"/>
                <w:szCs w:val="16"/>
              </w:rPr>
            </w:pPr>
          </w:p>
          <w:p w14:paraId="16301899" w14:textId="77777777" w:rsidR="00D33BAF" w:rsidRDefault="00D33BAF" w:rsidP="00612B98">
            <w:pPr>
              <w:pStyle w:val="TBLBODYTables"/>
              <w:spacing w:after="0" w:line="240" w:lineRule="auto"/>
            </w:pPr>
            <w:r>
              <w:rPr>
                <w:sz w:val="16"/>
                <w:szCs w:val="16"/>
              </w:rPr>
              <w:t>Consistent follow-up throughout year and review of priorities</w:t>
            </w:r>
            <w:r>
              <w:rPr>
                <w:rFonts w:ascii="DINRoundPro-Bold" w:hAnsi="DINRoundPro-Bold" w:cs="DINRoundPro-Bold"/>
                <w:b/>
                <w:bCs/>
                <w:sz w:val="16"/>
                <w:szCs w:val="16"/>
              </w:rPr>
              <w:t xml:space="preserve"> </w:t>
            </w:r>
            <w:r>
              <w:rPr>
                <w:sz w:val="16"/>
                <w:szCs w:val="16"/>
              </w:rPr>
              <w:t xml:space="preserve">of previous JSR. </w:t>
            </w:r>
          </w:p>
        </w:tc>
        <w:tc>
          <w:tcPr>
            <w:tcW w:w="2070" w:type="dxa"/>
            <w:tcBorders>
              <w:top w:val="dotted" w:sz="6" w:space="0" w:color="6E3B96"/>
              <w:left w:val="single" w:sz="4" w:space="0" w:color="6E3B96"/>
              <w:bottom w:val="single" w:sz="4" w:space="0" w:color="6E3B96"/>
              <w:right w:val="single" w:sz="4" w:space="0" w:color="6E3B96"/>
            </w:tcBorders>
            <w:shd w:val="solid" w:color="FFFFFF" w:fill="auto"/>
            <w:tcMar>
              <w:top w:w="120" w:type="dxa"/>
              <w:left w:w="120" w:type="dxa"/>
              <w:bottom w:w="240" w:type="dxa"/>
              <w:right w:w="120" w:type="dxa"/>
            </w:tcMar>
          </w:tcPr>
          <w:p w14:paraId="4E2C718F" w14:textId="77777777" w:rsidR="00D33BAF" w:rsidRDefault="00D33BAF" w:rsidP="00612B98">
            <w:pPr>
              <w:pStyle w:val="TBLBODYTables"/>
              <w:spacing w:after="0" w:line="240" w:lineRule="auto"/>
              <w:rPr>
                <w:sz w:val="16"/>
                <w:szCs w:val="16"/>
              </w:rPr>
            </w:pPr>
            <w:r>
              <w:rPr>
                <w:sz w:val="16"/>
                <w:szCs w:val="16"/>
              </w:rPr>
              <w:t>JSR fully institutionalized through the LEG; national dialogue structures, thematic working groups, and planning cycle.</w:t>
            </w:r>
          </w:p>
          <w:p w14:paraId="1A0D5BD6" w14:textId="77777777" w:rsidR="00D33BAF" w:rsidRDefault="00D33BAF" w:rsidP="00612B98">
            <w:pPr>
              <w:pStyle w:val="TBLBODYTables"/>
              <w:spacing w:after="0" w:line="240" w:lineRule="auto"/>
            </w:pPr>
            <w:r>
              <w:rPr>
                <w:sz w:val="16"/>
                <w:szCs w:val="16"/>
              </w:rPr>
              <w:t>Strong commitment of government to priority actions and JSR follow-up.</w:t>
            </w:r>
          </w:p>
        </w:tc>
        <w:tc>
          <w:tcPr>
            <w:tcW w:w="2520" w:type="dxa"/>
            <w:tcBorders>
              <w:top w:val="dotted" w:sz="6" w:space="0" w:color="6E3B96"/>
              <w:left w:val="single" w:sz="4" w:space="0" w:color="6E3B96"/>
              <w:bottom w:val="single" w:sz="4" w:space="0" w:color="6E3B96"/>
              <w:right w:val="single" w:sz="4" w:space="0" w:color="6E3B96"/>
            </w:tcBorders>
            <w:shd w:val="solid" w:color="FFFFFF" w:fill="auto"/>
            <w:tcMar>
              <w:top w:w="140" w:type="dxa"/>
              <w:left w:w="80" w:type="dxa"/>
              <w:bottom w:w="240" w:type="dxa"/>
              <w:right w:w="90" w:type="dxa"/>
            </w:tcMar>
          </w:tcPr>
          <w:p w14:paraId="0D88CEE7" w14:textId="77777777" w:rsidR="00D33BAF" w:rsidRDefault="00D33BAF" w:rsidP="00612B98">
            <w:pPr>
              <w:pStyle w:val="TBLBODYTables"/>
              <w:spacing w:after="0" w:line="240" w:lineRule="auto"/>
              <w:ind w:right="540"/>
            </w:pPr>
            <w:r>
              <w:rPr>
                <w:sz w:val="16"/>
                <w:szCs w:val="16"/>
              </w:rPr>
              <w:t xml:space="preserve">Multi-stakeholder collaboration, information </w:t>
            </w:r>
            <w:proofErr w:type="gramStart"/>
            <w:r>
              <w:rPr>
                <w:sz w:val="16"/>
                <w:szCs w:val="16"/>
              </w:rPr>
              <w:t>sharing</w:t>
            </w:r>
            <w:proofErr w:type="gramEnd"/>
            <w:r>
              <w:rPr>
                <w:sz w:val="16"/>
                <w:szCs w:val="16"/>
              </w:rPr>
              <w:t xml:space="preserve"> and pooling of experiences optimizes government JSR capacities and ESP/TEP education investments. </w:t>
            </w:r>
          </w:p>
        </w:tc>
      </w:tr>
    </w:tbl>
    <w:p w14:paraId="76C2F6F1" w14:textId="722895B0" w:rsidR="000E2794" w:rsidRDefault="000E2794" w:rsidP="00DC2D52"/>
    <w:sectPr w:rsidR="000E2794" w:rsidSect="006E3BD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1B90" w14:textId="77777777" w:rsidR="00B91691" w:rsidRDefault="00B91691" w:rsidP="002B2245">
      <w:r>
        <w:separator/>
      </w:r>
    </w:p>
  </w:endnote>
  <w:endnote w:type="continuationSeparator" w:id="0">
    <w:p w14:paraId="70EEE8BC" w14:textId="77777777" w:rsidR="00B91691" w:rsidRDefault="00B91691" w:rsidP="002B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RoundPro-Bold">
    <w:altName w:val="Calibri"/>
    <w:panose1 w:val="00000000000000000000"/>
    <w:charset w:val="4D"/>
    <w:family w:val="swiss"/>
    <w:notTrueType/>
    <w:pitch w:val="variable"/>
    <w:sig w:usb0="A00002BF" w:usb1="4000207B" w:usb2="00000000" w:usb3="00000000" w:csb0="00000097" w:csb1="00000000"/>
  </w:font>
  <w:font w:name="Swift LT Std Light">
    <w:altName w:val="Calibri Light"/>
    <w:panose1 w:val="00000000000000000000"/>
    <w:charset w:val="4D"/>
    <w:family w:val="roman"/>
    <w:notTrueType/>
    <w:pitch w:val="variable"/>
    <w:sig w:usb0="800000AF" w:usb1="5000204A" w:usb2="00000000" w:usb3="00000000" w:csb0="00000009" w:csb1="00000000"/>
  </w:font>
  <w:font w:name="Swift LT Std">
    <w:altName w:val="Times New Roman"/>
    <w:charset w:val="4D"/>
    <w:family w:val="auto"/>
    <w:pitch w:val="default"/>
    <w:sig w:usb0="00000003" w:usb1="00000000" w:usb2="00000000" w:usb3="00000000" w:csb0="00000001" w:csb1="00000000"/>
  </w:font>
  <w:font w:name="DINRoundPro">
    <w:altName w:val="Calibri"/>
    <w:panose1 w:val="00000000000000000000"/>
    <w:charset w:val="4D"/>
    <w:family w:val="swiss"/>
    <w:notTrueType/>
    <w:pitch w:val="variable"/>
    <w:sig w:usb0="A00002BF" w:usb1="4000207B" w:usb2="00000000" w:usb3="00000000" w:csb0="00000097" w:csb1="00000000"/>
  </w:font>
  <w:font w:name="MinionPro-Regular">
    <w:altName w:val="Cambria"/>
    <w:panose1 w:val="00000000000000000000"/>
    <w:charset w:val="4D"/>
    <w:family w:val="auto"/>
    <w:notTrueType/>
    <w:pitch w:val="default"/>
    <w:sig w:usb0="00000003" w:usb1="00000000" w:usb2="00000000" w:usb3="00000000" w:csb0="00000001" w:csb1="00000000"/>
  </w:font>
  <w:font w:name="SwiftLTStd-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0773977"/>
      <w:docPartObj>
        <w:docPartGallery w:val="Page Numbers (Bottom of Page)"/>
        <w:docPartUnique/>
      </w:docPartObj>
    </w:sdtPr>
    <w:sdtEndPr>
      <w:rPr>
        <w:rStyle w:val="PageNumber"/>
      </w:rPr>
    </w:sdtEndPr>
    <w:sdtContent>
      <w:p w14:paraId="5BDE0559" w14:textId="77777777" w:rsidR="002F2707" w:rsidRDefault="002F2707" w:rsidP="005E3E9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800630" w14:textId="77777777" w:rsidR="002F2707" w:rsidRDefault="002F2707" w:rsidP="002F270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8493755"/>
      <w:docPartObj>
        <w:docPartGallery w:val="Page Numbers (Bottom of Page)"/>
        <w:docPartUnique/>
      </w:docPartObj>
    </w:sdtPr>
    <w:sdtEndPr>
      <w:rPr>
        <w:rStyle w:val="PageNumber"/>
      </w:rPr>
    </w:sdtEndPr>
    <w:sdtContent>
      <w:p w14:paraId="7A74AB2B" w14:textId="77777777" w:rsidR="002F2707" w:rsidRDefault="002F2707" w:rsidP="005E3E9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D77EEA" w14:textId="77777777" w:rsidR="002F2707" w:rsidRDefault="002F2707" w:rsidP="002F2707">
    <w:pPr>
      <w:pStyle w:val="Footer"/>
      <w:ind w:right="360" w:firstLine="360"/>
    </w:pPr>
  </w:p>
  <w:p w14:paraId="2E2CBF3C" w14:textId="77777777" w:rsidR="002F2707" w:rsidRDefault="002F2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0C7F" w14:textId="77777777" w:rsidR="00B91691" w:rsidRDefault="00B91691" w:rsidP="002B2245">
      <w:r>
        <w:separator/>
      </w:r>
    </w:p>
  </w:footnote>
  <w:footnote w:type="continuationSeparator" w:id="0">
    <w:p w14:paraId="1C3DF96C" w14:textId="77777777" w:rsidR="00B91691" w:rsidRDefault="00B91691" w:rsidP="002B2245">
      <w:r>
        <w:continuationSeparator/>
      </w:r>
    </w:p>
  </w:footnote>
  <w:footnote w:id="1">
    <w:p w14:paraId="4AC74820" w14:textId="77777777" w:rsidR="00CE784F" w:rsidRPr="0055491E" w:rsidRDefault="00CE784F" w:rsidP="00CE784F">
      <w:pPr>
        <w:ind w:left="360"/>
        <w:rPr>
          <w:rFonts w:ascii="Swift LT Std Light" w:hAnsi="Swift LT Std Light"/>
          <w:sz w:val="18"/>
          <w:szCs w:val="18"/>
        </w:rPr>
      </w:pPr>
      <w:r w:rsidRPr="0055491E">
        <w:rPr>
          <w:rStyle w:val="FootnoteReference"/>
          <w:rFonts w:ascii="Swift LT Std Light" w:hAnsi="Swift LT Std Light"/>
          <w:sz w:val="18"/>
          <w:szCs w:val="18"/>
        </w:rPr>
        <w:footnoteRef/>
      </w:r>
      <w:r w:rsidRPr="0055491E">
        <w:rPr>
          <w:rFonts w:ascii="Swift LT Std Light" w:hAnsi="Swift LT Std Light"/>
          <w:sz w:val="18"/>
          <w:szCs w:val="18"/>
        </w:rPr>
        <w:t xml:space="preserve"> </w:t>
      </w:r>
      <w:hyperlink r:id="rId1" w:history="1">
        <w:r w:rsidRPr="0055491E">
          <w:rPr>
            <w:rStyle w:val="Hyperlink"/>
            <w:rFonts w:ascii="Swift LT Std Light" w:hAnsi="Swift LT Std Light"/>
            <w:sz w:val="18"/>
            <w:szCs w:val="18"/>
          </w:rPr>
          <w:t>https://www.globalpartnership.org/content/practical-guide-effective-joint-sector-reviews-education-sector</w:t>
        </w:r>
      </w:hyperlink>
    </w:p>
    <w:p w14:paraId="5A26C658" w14:textId="77777777" w:rsidR="00CE784F" w:rsidRDefault="00CE784F" w:rsidP="00CE78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DAF0" w14:textId="77777777" w:rsidR="002B2245" w:rsidRDefault="002B2245" w:rsidP="00DC2D52">
    <w:pPr>
      <w:pStyle w:val="Runningheadforchapter4"/>
      <w:ind w:left="270"/>
    </w:pPr>
    <w:r>
      <w:t>Joint Sector Reviews in the Education Sector</w:t>
    </w:r>
  </w:p>
  <w:p w14:paraId="60FE232B" w14:textId="77777777" w:rsidR="002B2245" w:rsidRDefault="002B2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8B77" w14:textId="77777777" w:rsidR="002B2245" w:rsidRDefault="002B2245" w:rsidP="00A46DB4">
    <w:pPr>
      <w:pStyle w:val="Runningheadforchapter4"/>
      <w:ind w:left="360"/>
    </w:pPr>
    <w:r>
      <w:t>Joint Sector Reviews in the Education Sector</w:t>
    </w:r>
  </w:p>
  <w:p w14:paraId="072829BA" w14:textId="77777777" w:rsidR="002B2245" w:rsidRDefault="002B2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D3"/>
    <w:rsid w:val="000643EE"/>
    <w:rsid w:val="000E2794"/>
    <w:rsid w:val="00155BF6"/>
    <w:rsid w:val="00253623"/>
    <w:rsid w:val="002B2245"/>
    <w:rsid w:val="002F2707"/>
    <w:rsid w:val="003961BC"/>
    <w:rsid w:val="00401338"/>
    <w:rsid w:val="0055458E"/>
    <w:rsid w:val="0055491E"/>
    <w:rsid w:val="00612B98"/>
    <w:rsid w:val="0068747C"/>
    <w:rsid w:val="006D3688"/>
    <w:rsid w:val="007E2D33"/>
    <w:rsid w:val="008B501E"/>
    <w:rsid w:val="009770D3"/>
    <w:rsid w:val="00A46DB4"/>
    <w:rsid w:val="00A65986"/>
    <w:rsid w:val="00AB6089"/>
    <w:rsid w:val="00B01AAC"/>
    <w:rsid w:val="00B91691"/>
    <w:rsid w:val="00C85CE9"/>
    <w:rsid w:val="00CE784F"/>
    <w:rsid w:val="00D33BAF"/>
    <w:rsid w:val="00DC2D52"/>
    <w:rsid w:val="00E15E5D"/>
    <w:rsid w:val="00F25605"/>
    <w:rsid w:val="00F87DEC"/>
    <w:rsid w:val="00FB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85B5"/>
  <w15:chartTrackingRefBased/>
  <w15:docId w15:val="{0240D271-E30D-4946-9D98-A55EB00D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9770D3"/>
    <w:pPr>
      <w:suppressAutoHyphens/>
      <w:autoSpaceDE w:val="0"/>
      <w:autoSpaceDN w:val="0"/>
      <w:adjustRightInd w:val="0"/>
      <w:spacing w:before="240" w:after="200" w:line="420" w:lineRule="atLeast"/>
      <w:textAlignment w:val="center"/>
    </w:pPr>
    <w:rPr>
      <w:rFonts w:ascii="DINRoundPro-Bold" w:hAnsi="DINRoundPro-Bold" w:cs="DINRoundPro-Bold"/>
      <w:b/>
      <w:bCs/>
      <w:color w:val="49B449"/>
      <w:sz w:val="36"/>
      <w:szCs w:val="36"/>
    </w:rPr>
  </w:style>
  <w:style w:type="paragraph" w:customStyle="1" w:styleId="CHAPBM">
    <w:name w:val="**CHAP_BM"/>
    <w:basedOn w:val="Normal"/>
    <w:uiPriority w:val="99"/>
    <w:rsid w:val="009770D3"/>
    <w:pPr>
      <w:autoSpaceDE w:val="0"/>
      <w:autoSpaceDN w:val="0"/>
      <w:adjustRightInd w:val="0"/>
      <w:spacing w:after="280" w:line="280" w:lineRule="atLeast"/>
      <w:textAlignment w:val="center"/>
    </w:pPr>
    <w:rPr>
      <w:rFonts w:ascii="Swift LT Std Light" w:hAnsi="Swift LT Std Light" w:cs="Swift LT Std Light"/>
      <w:color w:val="000000"/>
      <w:sz w:val="21"/>
      <w:szCs w:val="21"/>
    </w:rPr>
  </w:style>
  <w:style w:type="paragraph" w:customStyle="1" w:styleId="PurpleCHAPBM">
    <w:name w:val="**Purple CHAP_BM"/>
    <w:basedOn w:val="CHAPBM"/>
    <w:uiPriority w:val="99"/>
    <w:rsid w:val="009770D3"/>
    <w:rPr>
      <w:rFonts w:ascii="Swift LT Std" w:hAnsi="Swift LT Std" w:cs="Swift LT Std"/>
      <w:b/>
      <w:bCs/>
      <w:color w:val="6E3B96"/>
    </w:rPr>
  </w:style>
  <w:style w:type="paragraph" w:customStyle="1" w:styleId="H2">
    <w:name w:val="**H2"/>
    <w:basedOn w:val="Normal"/>
    <w:uiPriority w:val="99"/>
    <w:rsid w:val="009770D3"/>
    <w:pPr>
      <w:suppressAutoHyphens/>
      <w:autoSpaceDE w:val="0"/>
      <w:autoSpaceDN w:val="0"/>
      <w:adjustRightInd w:val="0"/>
      <w:spacing w:before="360" w:after="120" w:line="290" w:lineRule="atLeast"/>
      <w:textAlignment w:val="center"/>
    </w:pPr>
    <w:rPr>
      <w:rFonts w:ascii="DINRoundPro-Bold" w:hAnsi="DINRoundPro-Bold" w:cs="DINRoundPro-Bold"/>
      <w:b/>
      <w:bCs/>
      <w:color w:val="49B449"/>
      <w:sz w:val="25"/>
      <w:szCs w:val="25"/>
    </w:rPr>
  </w:style>
  <w:style w:type="paragraph" w:customStyle="1" w:styleId="BLfullwidth1p2between">
    <w:name w:val="**BL full width 1p2 between"/>
    <w:basedOn w:val="Normal"/>
    <w:uiPriority w:val="99"/>
    <w:rsid w:val="009770D3"/>
    <w:pPr>
      <w:autoSpaceDE w:val="0"/>
      <w:autoSpaceDN w:val="0"/>
      <w:adjustRightInd w:val="0"/>
      <w:spacing w:after="280" w:line="280" w:lineRule="atLeast"/>
      <w:ind w:left="760" w:hanging="280"/>
      <w:textAlignment w:val="center"/>
    </w:pPr>
    <w:rPr>
      <w:rFonts w:ascii="Swift LT Std Light" w:hAnsi="Swift LT Std Light" w:cs="Swift LT Std Light"/>
      <w:color w:val="000000"/>
      <w:sz w:val="21"/>
      <w:szCs w:val="21"/>
      <w:u w:color="000000"/>
    </w:rPr>
  </w:style>
  <w:style w:type="paragraph" w:customStyle="1" w:styleId="BoxTTL1Tables">
    <w:name w:val="**Box TTL 1 (Tables)"/>
    <w:basedOn w:val="Normal"/>
    <w:uiPriority w:val="99"/>
    <w:rsid w:val="009770D3"/>
    <w:pPr>
      <w:suppressAutoHyphens/>
      <w:autoSpaceDE w:val="0"/>
      <w:autoSpaceDN w:val="0"/>
      <w:adjustRightInd w:val="0"/>
      <w:spacing w:after="160" w:line="260" w:lineRule="atLeast"/>
      <w:textAlignment w:val="center"/>
    </w:pPr>
    <w:rPr>
      <w:rFonts w:ascii="DINRoundPro-Bold" w:hAnsi="DINRoundPro-Bold" w:cs="DINRoundPro-Bold"/>
      <w:b/>
      <w:bCs/>
      <w:caps/>
      <w:color w:val="49B449"/>
      <w:sz w:val="20"/>
      <w:szCs w:val="20"/>
    </w:rPr>
  </w:style>
  <w:style w:type="paragraph" w:customStyle="1" w:styleId="BOXTXT">
    <w:name w:val="**BOX_TXT"/>
    <w:basedOn w:val="Normal"/>
    <w:uiPriority w:val="99"/>
    <w:rsid w:val="009770D3"/>
    <w:pPr>
      <w:autoSpaceDE w:val="0"/>
      <w:autoSpaceDN w:val="0"/>
      <w:adjustRightInd w:val="0"/>
      <w:spacing w:after="240" w:line="220" w:lineRule="atLeast"/>
      <w:textAlignment w:val="center"/>
    </w:pPr>
    <w:rPr>
      <w:rFonts w:ascii="DINRoundPro" w:hAnsi="DINRoundPro" w:cs="DINRoundPro"/>
      <w:color w:val="000000"/>
      <w:sz w:val="18"/>
      <w:szCs w:val="18"/>
    </w:rPr>
  </w:style>
  <w:style w:type="character" w:customStyle="1" w:styleId="BOLD">
    <w:name w:val="*BOLD"/>
    <w:uiPriority w:val="99"/>
    <w:rsid w:val="009770D3"/>
    <w:rPr>
      <w:b/>
      <w:bCs/>
    </w:rPr>
  </w:style>
  <w:style w:type="character" w:customStyle="1" w:styleId="BOLDITAL">
    <w:name w:val="*BOLD_ITAL"/>
    <w:uiPriority w:val="99"/>
    <w:rsid w:val="009770D3"/>
    <w:rPr>
      <w:b/>
      <w:bCs/>
    </w:rPr>
  </w:style>
  <w:style w:type="character" w:customStyle="1" w:styleId="ITAL">
    <w:name w:val="*ITAL"/>
    <w:uiPriority w:val="99"/>
    <w:rsid w:val="009770D3"/>
    <w:rPr>
      <w:i/>
      <w:iCs/>
    </w:rPr>
  </w:style>
  <w:style w:type="character" w:customStyle="1" w:styleId="TBLITAL">
    <w:name w:val="*TBL_ITAL"/>
    <w:uiPriority w:val="99"/>
    <w:rsid w:val="009770D3"/>
  </w:style>
  <w:style w:type="paragraph" w:styleId="Header">
    <w:name w:val="header"/>
    <w:basedOn w:val="Normal"/>
    <w:link w:val="HeaderChar"/>
    <w:uiPriority w:val="99"/>
    <w:unhideWhenUsed/>
    <w:rsid w:val="002B2245"/>
    <w:pPr>
      <w:tabs>
        <w:tab w:val="center" w:pos="4680"/>
        <w:tab w:val="right" w:pos="9360"/>
      </w:tabs>
    </w:pPr>
  </w:style>
  <w:style w:type="character" w:customStyle="1" w:styleId="HeaderChar">
    <w:name w:val="Header Char"/>
    <w:basedOn w:val="DefaultParagraphFont"/>
    <w:link w:val="Header"/>
    <w:uiPriority w:val="99"/>
    <w:rsid w:val="002B2245"/>
  </w:style>
  <w:style w:type="paragraph" w:styleId="Footer">
    <w:name w:val="footer"/>
    <w:basedOn w:val="Normal"/>
    <w:link w:val="FooterChar"/>
    <w:uiPriority w:val="99"/>
    <w:unhideWhenUsed/>
    <w:rsid w:val="002B2245"/>
    <w:pPr>
      <w:tabs>
        <w:tab w:val="center" w:pos="4680"/>
        <w:tab w:val="right" w:pos="9360"/>
      </w:tabs>
    </w:pPr>
  </w:style>
  <w:style w:type="character" w:customStyle="1" w:styleId="FooterChar">
    <w:name w:val="Footer Char"/>
    <w:basedOn w:val="DefaultParagraphFont"/>
    <w:link w:val="Footer"/>
    <w:uiPriority w:val="99"/>
    <w:rsid w:val="002B2245"/>
  </w:style>
  <w:style w:type="paragraph" w:customStyle="1" w:styleId="Runningheadforchapter4">
    <w:name w:val="**Runninghead for chapter 4"/>
    <w:basedOn w:val="Normal"/>
    <w:uiPriority w:val="99"/>
    <w:rsid w:val="002B2245"/>
    <w:pPr>
      <w:autoSpaceDE w:val="0"/>
      <w:autoSpaceDN w:val="0"/>
      <w:adjustRightInd w:val="0"/>
      <w:spacing w:line="288" w:lineRule="auto"/>
      <w:textAlignment w:val="center"/>
    </w:pPr>
    <w:rPr>
      <w:rFonts w:ascii="DINRoundPro" w:hAnsi="DINRoundPro" w:cs="DINRoundPro"/>
      <w:color w:val="6E3B96"/>
      <w:sz w:val="15"/>
      <w:szCs w:val="15"/>
    </w:rPr>
  </w:style>
  <w:style w:type="paragraph" w:customStyle="1" w:styleId="FOOTNOTES">
    <w:name w:val="**FOOTNOTES"/>
    <w:basedOn w:val="Normal"/>
    <w:uiPriority w:val="99"/>
    <w:rsid w:val="002B2245"/>
    <w:pPr>
      <w:autoSpaceDE w:val="0"/>
      <w:autoSpaceDN w:val="0"/>
      <w:adjustRightInd w:val="0"/>
      <w:spacing w:line="200" w:lineRule="atLeast"/>
      <w:ind w:left="160" w:hanging="160"/>
      <w:textAlignment w:val="center"/>
    </w:pPr>
    <w:rPr>
      <w:rFonts w:ascii="DINRoundPro" w:hAnsi="DINRoundPro" w:cs="DINRoundPro"/>
      <w:color w:val="000000"/>
      <w:sz w:val="16"/>
      <w:szCs w:val="16"/>
    </w:rPr>
  </w:style>
  <w:style w:type="character" w:styleId="PageNumber">
    <w:name w:val="page number"/>
    <w:basedOn w:val="DefaultParagraphFont"/>
    <w:uiPriority w:val="99"/>
    <w:semiHidden/>
    <w:unhideWhenUsed/>
    <w:rsid w:val="002F2707"/>
  </w:style>
  <w:style w:type="paragraph" w:customStyle="1" w:styleId="NoParagraphStyle">
    <w:name w:val="[No Paragraph Style]"/>
    <w:rsid w:val="00D33BAF"/>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customStyle="1" w:styleId="TBLANCHORTables">
    <w:name w:val="**TBL_ANCHOR (Tables)"/>
    <w:basedOn w:val="NoParagraphStyle"/>
    <w:uiPriority w:val="99"/>
    <w:rsid w:val="00D33BAF"/>
    <w:pPr>
      <w:spacing w:after="80"/>
    </w:pPr>
    <w:rPr>
      <w:rFonts w:ascii="SwiftLTStd-Regular" w:hAnsi="SwiftLTStd-Regular" w:cs="SwiftLTStd-Regular"/>
    </w:rPr>
  </w:style>
  <w:style w:type="paragraph" w:customStyle="1" w:styleId="TBLCOLHDTables">
    <w:name w:val="**TBL_COLHD (Tables)"/>
    <w:basedOn w:val="NoParagraphStyle"/>
    <w:uiPriority w:val="99"/>
    <w:rsid w:val="00D33BAF"/>
    <w:pPr>
      <w:tabs>
        <w:tab w:val="left" w:pos="280"/>
      </w:tabs>
      <w:suppressAutoHyphens/>
      <w:spacing w:after="120" w:line="220" w:lineRule="atLeast"/>
    </w:pPr>
    <w:rPr>
      <w:rFonts w:ascii="DINRoundPro-Bold" w:hAnsi="DINRoundPro-Bold" w:cs="DINRoundPro-Bold"/>
      <w:b/>
      <w:bCs/>
      <w:caps/>
      <w:color w:val="FFFFFF"/>
      <w:sz w:val="18"/>
      <w:szCs w:val="18"/>
    </w:rPr>
  </w:style>
  <w:style w:type="paragraph" w:customStyle="1" w:styleId="TBLBODYTables">
    <w:name w:val="**TBL_BODY (Tables)"/>
    <w:basedOn w:val="NoParagraphStyle"/>
    <w:uiPriority w:val="99"/>
    <w:rsid w:val="00D33BAF"/>
    <w:pPr>
      <w:tabs>
        <w:tab w:val="left" w:pos="280"/>
      </w:tabs>
      <w:spacing w:after="120" w:line="220" w:lineRule="atLeast"/>
    </w:pPr>
    <w:rPr>
      <w:rFonts w:ascii="DINRoundPro" w:hAnsi="DINRoundPro" w:cs="DINRoundPro"/>
      <w:sz w:val="18"/>
      <w:szCs w:val="18"/>
    </w:rPr>
  </w:style>
  <w:style w:type="paragraph" w:customStyle="1" w:styleId="TBLSIDEHEADTables">
    <w:name w:val="**TBL SIDE HEAD (Tables)"/>
    <w:basedOn w:val="TBLBODYTables"/>
    <w:uiPriority w:val="99"/>
    <w:rsid w:val="00D33BAF"/>
    <w:pPr>
      <w:suppressAutoHyphens/>
    </w:pPr>
    <w:rPr>
      <w:rFonts w:ascii="DINRoundPro-Bold" w:hAnsi="DINRoundPro-Bold" w:cs="DINRoundPro-Bold"/>
      <w:b/>
      <w:bCs/>
      <w:color w:val="49B449"/>
    </w:rPr>
  </w:style>
  <w:style w:type="paragraph" w:styleId="FootnoteText">
    <w:name w:val="footnote text"/>
    <w:basedOn w:val="Normal"/>
    <w:link w:val="FootnoteTextChar"/>
    <w:uiPriority w:val="99"/>
    <w:semiHidden/>
    <w:unhideWhenUsed/>
    <w:rsid w:val="0055491E"/>
    <w:rPr>
      <w:sz w:val="20"/>
      <w:szCs w:val="20"/>
    </w:rPr>
  </w:style>
  <w:style w:type="character" w:customStyle="1" w:styleId="FootnoteTextChar">
    <w:name w:val="Footnote Text Char"/>
    <w:basedOn w:val="DefaultParagraphFont"/>
    <w:link w:val="FootnoteText"/>
    <w:uiPriority w:val="99"/>
    <w:semiHidden/>
    <w:rsid w:val="0055491E"/>
    <w:rPr>
      <w:sz w:val="20"/>
      <w:szCs w:val="20"/>
    </w:rPr>
  </w:style>
  <w:style w:type="character" w:styleId="FootnoteReference">
    <w:name w:val="footnote reference"/>
    <w:basedOn w:val="DefaultParagraphFont"/>
    <w:uiPriority w:val="99"/>
    <w:semiHidden/>
    <w:unhideWhenUsed/>
    <w:rsid w:val="0055491E"/>
    <w:rPr>
      <w:vertAlign w:val="superscript"/>
    </w:rPr>
  </w:style>
  <w:style w:type="character" w:styleId="Hyperlink">
    <w:name w:val="Hyperlink"/>
    <w:basedOn w:val="DefaultParagraphFont"/>
    <w:uiPriority w:val="99"/>
    <w:semiHidden/>
    <w:unhideWhenUsed/>
    <w:rsid w:val="005549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partnership.org/content/joint-sector-review-maturity-ladde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partnership.org/content/practical-guide-effective-joint-sector-reviews-education-sector"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shancock@shepherd-inc.com</dc:creator>
  <cp:keywords/>
  <dc:description/>
  <cp:lastModifiedBy>Paula Carolina Valenzuela</cp:lastModifiedBy>
  <cp:revision>2</cp:revision>
  <dcterms:created xsi:type="dcterms:W3CDTF">2018-11-30T19:38:00Z</dcterms:created>
  <dcterms:modified xsi:type="dcterms:W3CDTF">2018-11-30T19:38:00Z</dcterms:modified>
</cp:coreProperties>
</file>