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8829" w14:textId="77777777" w:rsidR="00EC284D" w:rsidRPr="00BE3239" w:rsidRDefault="00EC284D">
      <w:pPr>
        <w:rPr>
          <w:sz w:val="18"/>
          <w:lang w:val="es-ES"/>
        </w:rPr>
      </w:pPr>
      <w:bookmarkStart w:id="0" w:name="_GoBack"/>
      <w:bookmarkEnd w:id="0"/>
    </w:p>
    <w:p w14:paraId="7AD17F88" w14:textId="16E90DF0" w:rsidR="00EC284D" w:rsidRPr="00BE3239" w:rsidRDefault="00E35926" w:rsidP="00D974A2">
      <w:pPr>
        <w:widowControl w:val="0"/>
        <w:autoSpaceDE w:val="0"/>
        <w:autoSpaceDN w:val="0"/>
        <w:adjustRightInd w:val="0"/>
        <w:jc w:val="center"/>
        <w:rPr>
          <w:rFonts w:ascii="Arial Rounded MT Bold" w:hAnsi="Arial Rounded MT Bold" w:cs="Arial Rounded MT Bold"/>
          <w:color w:val="6D6D6D"/>
          <w:sz w:val="28"/>
          <w:szCs w:val="38"/>
          <w:lang w:val="es-ES"/>
        </w:rPr>
      </w:pPr>
      <w:r w:rsidRPr="00BE3239">
        <w:rPr>
          <w:rFonts w:ascii="Arial Rounded MT Bold" w:hAnsi="Arial Rounded MT Bold" w:cs="Arial Rounded MT Bold"/>
          <w:sz w:val="28"/>
          <w:szCs w:val="38"/>
          <w:lang w:val="es-ES"/>
        </w:rPr>
        <w:t xml:space="preserve">Matriz de </w:t>
      </w:r>
      <w:r w:rsidR="00EC284D" w:rsidRPr="00BE3239">
        <w:rPr>
          <w:rFonts w:ascii="Arial Rounded MT Bold" w:hAnsi="Arial Rounded MT Bold" w:cs="Arial Rounded MT Bold"/>
          <w:sz w:val="28"/>
          <w:szCs w:val="38"/>
          <w:lang w:val="es-ES"/>
        </w:rPr>
        <w:t xml:space="preserve">Requisitos </w:t>
      </w:r>
      <w:r w:rsidRPr="00BE3239">
        <w:rPr>
          <w:rFonts w:ascii="Arial Rounded MT Bold" w:hAnsi="Arial Rounded MT Bold" w:cs="Arial Rounded MT Bold"/>
          <w:sz w:val="28"/>
          <w:szCs w:val="38"/>
          <w:lang w:val="es-ES"/>
        </w:rPr>
        <w:t>del Modelo de Financiamiento de AME</w:t>
      </w:r>
    </w:p>
    <w:p w14:paraId="52168129" w14:textId="77777777" w:rsidR="00E35926" w:rsidRPr="00BE3239" w:rsidRDefault="00E35926" w:rsidP="00D974A2">
      <w:pPr>
        <w:widowControl w:val="0"/>
        <w:autoSpaceDE w:val="0"/>
        <w:autoSpaceDN w:val="0"/>
        <w:adjustRightInd w:val="0"/>
        <w:jc w:val="center"/>
        <w:rPr>
          <w:rFonts w:ascii="Calibri" w:hAnsi="Calibri" w:cs="Calibri"/>
          <w:sz w:val="22"/>
          <w:szCs w:val="30"/>
          <w:lang w:val="es-ES"/>
        </w:rPr>
      </w:pPr>
    </w:p>
    <w:p w14:paraId="4465EC5E" w14:textId="77777777" w:rsidR="00EC284D" w:rsidRPr="00BE3239" w:rsidRDefault="00EC284D" w:rsidP="00D974A2">
      <w:pPr>
        <w:widowControl w:val="0"/>
        <w:autoSpaceDE w:val="0"/>
        <w:autoSpaceDN w:val="0"/>
        <w:adjustRightInd w:val="0"/>
        <w:jc w:val="both"/>
        <w:rPr>
          <w:rFonts w:ascii="Calibri" w:hAnsi="Calibri" w:cs="Calibri"/>
          <w:sz w:val="22"/>
          <w:szCs w:val="30"/>
          <w:lang w:val="es-ES"/>
        </w:rPr>
      </w:pPr>
      <w:r w:rsidRPr="00BE3239">
        <w:rPr>
          <w:rFonts w:ascii="Arial" w:hAnsi="Arial" w:cs="Arial"/>
          <w:sz w:val="22"/>
          <w:szCs w:val="30"/>
          <w:lang w:val="es-ES"/>
        </w:rPr>
        <w:t xml:space="preserve">El siguiente cuadro se basa en el documento de la Junta, Marco Operativo para Requerimientos e Incentivos en el Modelo de Financiamiento de la Alianza </w:t>
      </w:r>
      <w:r w:rsidR="00E35926" w:rsidRPr="00BE3239">
        <w:rPr>
          <w:rFonts w:ascii="Arial" w:hAnsi="Arial" w:cs="Arial"/>
          <w:sz w:val="22"/>
          <w:szCs w:val="30"/>
          <w:lang w:val="es-ES"/>
        </w:rPr>
        <w:t>Mundial</w:t>
      </w:r>
      <w:r w:rsidRPr="00BE3239">
        <w:rPr>
          <w:rFonts w:ascii="Arial" w:hAnsi="Arial" w:cs="Arial"/>
          <w:sz w:val="22"/>
          <w:szCs w:val="30"/>
          <w:lang w:val="es-ES"/>
        </w:rPr>
        <w:t xml:space="preserve"> (BOD / 2014/05-DOC 03).</w:t>
      </w:r>
      <w:r w:rsidRPr="00BE3239">
        <w:rPr>
          <w:rFonts w:ascii="Calibri" w:hAnsi="Calibri" w:cs="Calibri"/>
          <w:sz w:val="22"/>
          <w:szCs w:val="30"/>
          <w:lang w:val="es-ES"/>
        </w:rPr>
        <w:t xml:space="preserve"> </w:t>
      </w:r>
      <w:r w:rsidRPr="00BE3239">
        <w:rPr>
          <w:rFonts w:ascii="Arial" w:hAnsi="Arial" w:cs="Arial"/>
          <w:sz w:val="22"/>
          <w:szCs w:val="30"/>
          <w:lang w:val="es-ES"/>
        </w:rPr>
        <w:t>Su finalidad es ayudar a los países a analizar su estado de preparación frente al cumplimiento de los requisitos del modelo de financiación de</w:t>
      </w:r>
      <w:r w:rsidR="00E35926" w:rsidRPr="00BE3239">
        <w:rPr>
          <w:rFonts w:ascii="Arial" w:hAnsi="Arial" w:cs="Arial"/>
          <w:sz w:val="22"/>
          <w:szCs w:val="30"/>
          <w:lang w:val="es-ES"/>
        </w:rPr>
        <w:t xml:space="preserve"> AME</w:t>
      </w:r>
      <w:r w:rsidRPr="00BE3239">
        <w:rPr>
          <w:rFonts w:ascii="Arial" w:hAnsi="Arial" w:cs="Arial"/>
          <w:sz w:val="22"/>
          <w:szCs w:val="30"/>
          <w:lang w:val="es-ES"/>
        </w:rPr>
        <w:t xml:space="preserve"> e identificar las medidas que debe adoptar el país </w:t>
      </w:r>
      <w:r w:rsidR="00F77889" w:rsidRPr="00BE3239">
        <w:rPr>
          <w:rFonts w:ascii="Arial" w:hAnsi="Arial" w:cs="Arial"/>
          <w:sz w:val="22"/>
          <w:szCs w:val="30"/>
          <w:lang w:val="es-ES"/>
        </w:rPr>
        <w:t>para cumplirlas (tanto en vista</w:t>
      </w:r>
      <w:r w:rsidRPr="00BE3239">
        <w:rPr>
          <w:rFonts w:ascii="Arial" w:hAnsi="Arial" w:cs="Arial"/>
          <w:sz w:val="22"/>
          <w:szCs w:val="30"/>
          <w:lang w:val="es-ES"/>
        </w:rPr>
        <w:t xml:space="preserve"> </w:t>
      </w:r>
      <w:r w:rsidR="00E35926" w:rsidRPr="00BE3239">
        <w:rPr>
          <w:rFonts w:ascii="Arial" w:hAnsi="Arial" w:cs="Arial"/>
          <w:sz w:val="22"/>
          <w:szCs w:val="30"/>
          <w:lang w:val="es-ES"/>
        </w:rPr>
        <w:t>de la</w:t>
      </w:r>
      <w:r w:rsidR="00F77889" w:rsidRPr="00BE3239">
        <w:rPr>
          <w:rFonts w:ascii="Arial" w:hAnsi="Arial" w:cs="Arial"/>
          <w:sz w:val="22"/>
          <w:szCs w:val="30"/>
          <w:lang w:val="es-ES"/>
        </w:rPr>
        <w:t xml:space="preserve"> remisión del documento de</w:t>
      </w:r>
      <w:r w:rsidR="00E35926" w:rsidRPr="00BE3239">
        <w:rPr>
          <w:rFonts w:ascii="Arial" w:hAnsi="Arial" w:cs="Arial"/>
          <w:sz w:val="22"/>
          <w:szCs w:val="30"/>
          <w:lang w:val="es-ES"/>
        </w:rPr>
        <w:t xml:space="preserve"> </w:t>
      </w:r>
      <w:r w:rsidR="00CF284E" w:rsidRPr="00BE3239">
        <w:rPr>
          <w:rFonts w:ascii="Arial" w:hAnsi="Arial" w:cs="Arial"/>
          <w:sz w:val="22"/>
          <w:szCs w:val="30"/>
          <w:lang w:val="es-ES"/>
        </w:rPr>
        <w:t>postulación,</w:t>
      </w:r>
      <w:r w:rsidR="00E35926" w:rsidRPr="00BE3239">
        <w:rPr>
          <w:rFonts w:ascii="Arial" w:hAnsi="Arial" w:cs="Arial"/>
          <w:sz w:val="22"/>
          <w:szCs w:val="30"/>
          <w:lang w:val="es-ES"/>
        </w:rPr>
        <w:t xml:space="preserve"> así como </w:t>
      </w:r>
      <w:r w:rsidR="00F77889" w:rsidRPr="00BE3239">
        <w:rPr>
          <w:rFonts w:ascii="Arial" w:hAnsi="Arial" w:cs="Arial"/>
          <w:sz w:val="22"/>
          <w:szCs w:val="30"/>
          <w:lang w:val="es-ES"/>
        </w:rPr>
        <w:t xml:space="preserve">de </w:t>
      </w:r>
      <w:r w:rsidR="00E35926" w:rsidRPr="00BE3239">
        <w:rPr>
          <w:rFonts w:ascii="Arial" w:hAnsi="Arial" w:cs="Arial"/>
          <w:sz w:val="22"/>
          <w:szCs w:val="30"/>
          <w:lang w:val="es-ES"/>
        </w:rPr>
        <w:t>a</w:t>
      </w:r>
      <w:r w:rsidR="00F77889" w:rsidRPr="00BE3239">
        <w:rPr>
          <w:rFonts w:ascii="Arial" w:hAnsi="Arial" w:cs="Arial"/>
          <w:sz w:val="22"/>
          <w:szCs w:val="30"/>
          <w:lang w:val="es-ES"/>
        </w:rPr>
        <w:t>cciones de mediano y largo plazo</w:t>
      </w:r>
      <w:r w:rsidRPr="00BE3239">
        <w:rPr>
          <w:rFonts w:ascii="Arial" w:hAnsi="Arial" w:cs="Arial"/>
          <w:sz w:val="22"/>
          <w:szCs w:val="30"/>
          <w:lang w:val="es-ES"/>
        </w:rPr>
        <w:t>).</w:t>
      </w:r>
      <w:r w:rsidRPr="00BE3239">
        <w:rPr>
          <w:rFonts w:ascii="Calibri" w:hAnsi="Calibri" w:cs="Calibri"/>
          <w:sz w:val="22"/>
          <w:szCs w:val="30"/>
          <w:lang w:val="es-ES"/>
        </w:rPr>
        <w:t xml:space="preserve"> </w:t>
      </w:r>
      <w:r w:rsidRPr="00BE3239">
        <w:rPr>
          <w:rFonts w:ascii="Arial" w:hAnsi="Arial" w:cs="Arial"/>
          <w:sz w:val="22"/>
          <w:szCs w:val="30"/>
          <w:lang w:val="es-ES"/>
        </w:rPr>
        <w:t xml:space="preserve">Esta matriz es preparada conjuntamente por los </w:t>
      </w:r>
      <w:r w:rsidR="00F77889" w:rsidRPr="00BE3239">
        <w:rPr>
          <w:rFonts w:ascii="Arial" w:hAnsi="Arial" w:cs="Arial"/>
          <w:sz w:val="22"/>
          <w:szCs w:val="30"/>
          <w:lang w:val="es-ES"/>
        </w:rPr>
        <w:t>socios</w:t>
      </w:r>
      <w:r w:rsidRPr="00BE3239">
        <w:rPr>
          <w:rFonts w:ascii="Arial" w:hAnsi="Arial" w:cs="Arial"/>
          <w:sz w:val="22"/>
          <w:szCs w:val="30"/>
          <w:lang w:val="es-ES"/>
        </w:rPr>
        <w:t xml:space="preserve"> a nivel de país y </w:t>
      </w:r>
      <w:r w:rsidR="00F77889" w:rsidRPr="00BE3239">
        <w:rPr>
          <w:rFonts w:ascii="Arial" w:hAnsi="Arial" w:cs="Arial"/>
          <w:sz w:val="22"/>
          <w:szCs w:val="30"/>
          <w:lang w:val="es-ES"/>
        </w:rPr>
        <w:t xml:space="preserve">los Coordinadores de País </w:t>
      </w:r>
      <w:r w:rsidRPr="00BE3239">
        <w:rPr>
          <w:rFonts w:ascii="Arial" w:hAnsi="Arial" w:cs="Arial"/>
          <w:sz w:val="22"/>
          <w:szCs w:val="30"/>
          <w:lang w:val="es-ES"/>
        </w:rPr>
        <w:t>de la Secretaría.</w:t>
      </w:r>
    </w:p>
    <w:p w14:paraId="1529B043" w14:textId="77777777" w:rsidR="00EC284D" w:rsidRPr="00BE3239" w:rsidRDefault="00EC284D" w:rsidP="00D974A2">
      <w:pPr>
        <w:widowControl w:val="0"/>
        <w:autoSpaceDE w:val="0"/>
        <w:autoSpaceDN w:val="0"/>
        <w:adjustRightInd w:val="0"/>
        <w:jc w:val="both"/>
        <w:rPr>
          <w:rFonts w:ascii="Calibri" w:hAnsi="Calibri" w:cs="Calibri"/>
          <w:sz w:val="22"/>
          <w:szCs w:val="30"/>
          <w:lang w:val="es-ES"/>
        </w:rPr>
      </w:pPr>
    </w:p>
    <w:p w14:paraId="7B5BB335" w14:textId="77777777" w:rsidR="00EC284D" w:rsidRPr="00BE3239" w:rsidRDefault="00EC284D" w:rsidP="00D974A2">
      <w:pPr>
        <w:widowControl w:val="0"/>
        <w:autoSpaceDE w:val="0"/>
        <w:autoSpaceDN w:val="0"/>
        <w:adjustRightInd w:val="0"/>
        <w:jc w:val="both"/>
        <w:rPr>
          <w:rFonts w:ascii="Calibri" w:hAnsi="Calibri" w:cs="Calibri"/>
          <w:sz w:val="22"/>
          <w:szCs w:val="30"/>
          <w:lang w:val="es-ES"/>
        </w:rPr>
      </w:pPr>
      <w:r w:rsidRPr="00BE3239">
        <w:rPr>
          <w:rFonts w:ascii="Arial" w:hAnsi="Arial" w:cs="Arial"/>
          <w:sz w:val="22"/>
          <w:szCs w:val="30"/>
          <w:lang w:val="es-ES"/>
        </w:rPr>
        <w:t xml:space="preserve">Esta matriz también formará la base de la discusión durante la Fase 1 de </w:t>
      </w:r>
      <w:r w:rsidR="00F77889" w:rsidRPr="00BE3239">
        <w:rPr>
          <w:rFonts w:ascii="Arial" w:hAnsi="Arial" w:cs="Arial"/>
          <w:sz w:val="22"/>
          <w:szCs w:val="30"/>
          <w:lang w:val="es-ES"/>
        </w:rPr>
        <w:t xml:space="preserve">la </w:t>
      </w:r>
      <w:r w:rsidRPr="00BE3239">
        <w:rPr>
          <w:rFonts w:ascii="Arial" w:hAnsi="Arial" w:cs="Arial"/>
          <w:sz w:val="22"/>
          <w:szCs w:val="30"/>
          <w:lang w:val="es-ES"/>
        </w:rPr>
        <w:t xml:space="preserve">Revisión </w:t>
      </w:r>
      <w:r w:rsidR="002E6FA7" w:rsidRPr="00BE3239">
        <w:rPr>
          <w:rFonts w:ascii="Arial" w:hAnsi="Arial" w:cs="Arial"/>
          <w:sz w:val="22"/>
          <w:szCs w:val="30"/>
          <w:lang w:val="es-ES"/>
        </w:rPr>
        <w:t xml:space="preserve">para </w:t>
      </w:r>
      <w:r w:rsidRPr="00BE3239">
        <w:rPr>
          <w:rFonts w:ascii="Arial" w:hAnsi="Arial" w:cs="Arial"/>
          <w:sz w:val="22"/>
          <w:szCs w:val="30"/>
          <w:lang w:val="es-ES"/>
        </w:rPr>
        <w:t xml:space="preserve">el </w:t>
      </w:r>
      <w:r w:rsidR="002E6FA7" w:rsidRPr="00BE3239">
        <w:rPr>
          <w:rFonts w:ascii="Arial" w:hAnsi="Arial" w:cs="Arial"/>
          <w:sz w:val="22"/>
          <w:szCs w:val="30"/>
          <w:lang w:val="es-ES"/>
        </w:rPr>
        <w:t>Aseguramiento de la Calidad (RAC</w:t>
      </w:r>
      <w:r w:rsidRPr="00BE3239">
        <w:rPr>
          <w:rFonts w:ascii="Arial" w:hAnsi="Arial" w:cs="Arial"/>
          <w:sz w:val="22"/>
          <w:szCs w:val="30"/>
          <w:lang w:val="es-ES"/>
        </w:rPr>
        <w:t xml:space="preserve">) y estará sujeta a cambios por parte de la Secretaría de acuerdo con los resultados de la Fase </w:t>
      </w:r>
      <w:r w:rsidR="002E6FA7" w:rsidRPr="00BE3239">
        <w:rPr>
          <w:rFonts w:ascii="Arial" w:hAnsi="Arial" w:cs="Arial"/>
          <w:sz w:val="22"/>
          <w:szCs w:val="30"/>
          <w:lang w:val="es-ES"/>
        </w:rPr>
        <w:t>1 del RAC</w:t>
      </w:r>
      <w:r w:rsidRPr="00BE3239">
        <w:rPr>
          <w:rFonts w:ascii="Arial" w:hAnsi="Arial" w:cs="Arial"/>
          <w:sz w:val="22"/>
          <w:szCs w:val="30"/>
          <w:lang w:val="es-ES"/>
        </w:rPr>
        <w:t xml:space="preserve">. La matriz será presentada para información y retroalimentación del Comité de Subvenciones </w:t>
      </w:r>
      <w:r w:rsidR="002E6FA7" w:rsidRPr="00BE3239">
        <w:rPr>
          <w:rFonts w:ascii="Arial" w:hAnsi="Arial" w:cs="Arial"/>
          <w:sz w:val="22"/>
          <w:szCs w:val="30"/>
          <w:lang w:val="es-ES"/>
        </w:rPr>
        <w:t>de País y de Rendimiento (CSPR</w:t>
      </w:r>
      <w:r w:rsidRPr="00BE3239">
        <w:rPr>
          <w:rFonts w:ascii="Arial" w:hAnsi="Arial" w:cs="Arial"/>
          <w:sz w:val="22"/>
          <w:szCs w:val="30"/>
          <w:lang w:val="es-ES"/>
        </w:rPr>
        <w:t xml:space="preserve">) </w:t>
      </w:r>
      <w:r w:rsidR="002E6FA7" w:rsidRPr="00BE3239">
        <w:rPr>
          <w:rFonts w:ascii="Arial" w:hAnsi="Arial" w:cs="Arial"/>
          <w:sz w:val="22"/>
          <w:szCs w:val="30"/>
          <w:lang w:val="es-ES"/>
        </w:rPr>
        <w:t>sobre la</w:t>
      </w:r>
      <w:r w:rsidRPr="00BE3239">
        <w:rPr>
          <w:rFonts w:ascii="Arial" w:hAnsi="Arial" w:cs="Arial"/>
          <w:sz w:val="22"/>
          <w:szCs w:val="30"/>
          <w:lang w:val="es-ES"/>
        </w:rPr>
        <w:t xml:space="preserve"> preparación del país ya las medidas recomendadas </w:t>
      </w:r>
      <w:r w:rsidR="002E6FA7" w:rsidRPr="00BE3239">
        <w:rPr>
          <w:rFonts w:ascii="Arial" w:hAnsi="Arial" w:cs="Arial"/>
          <w:sz w:val="22"/>
          <w:szCs w:val="30"/>
          <w:lang w:val="es-ES"/>
        </w:rPr>
        <w:t>para</w:t>
      </w:r>
      <w:r w:rsidRPr="00BE3239">
        <w:rPr>
          <w:rFonts w:ascii="Arial" w:hAnsi="Arial" w:cs="Arial"/>
          <w:sz w:val="22"/>
          <w:szCs w:val="30"/>
          <w:lang w:val="es-ES"/>
        </w:rPr>
        <w:t xml:space="preserve"> la presentación de la solicitud </w:t>
      </w:r>
      <w:r w:rsidR="002E6FA7" w:rsidRPr="00BE3239">
        <w:rPr>
          <w:rFonts w:ascii="Arial" w:hAnsi="Arial" w:cs="Arial"/>
          <w:sz w:val="22"/>
          <w:szCs w:val="30"/>
          <w:lang w:val="es-ES"/>
        </w:rPr>
        <w:t>de donación</w:t>
      </w:r>
      <w:r w:rsidRPr="00BE3239">
        <w:rPr>
          <w:rFonts w:ascii="Arial" w:hAnsi="Arial" w:cs="Arial"/>
          <w:sz w:val="22"/>
          <w:szCs w:val="30"/>
          <w:lang w:val="es-ES"/>
        </w:rPr>
        <w:t>.</w:t>
      </w:r>
      <w:r w:rsidRPr="00BE3239">
        <w:rPr>
          <w:rFonts w:ascii="Calibri" w:hAnsi="Calibri" w:cs="Calibri"/>
          <w:sz w:val="22"/>
          <w:szCs w:val="30"/>
          <w:lang w:val="es-ES"/>
        </w:rPr>
        <w:t xml:space="preserve"> </w:t>
      </w:r>
      <w:r w:rsidRPr="00BE3239">
        <w:rPr>
          <w:rFonts w:ascii="Arial" w:hAnsi="Arial" w:cs="Arial"/>
          <w:sz w:val="22"/>
          <w:szCs w:val="30"/>
          <w:lang w:val="es-ES"/>
        </w:rPr>
        <w:t xml:space="preserve">Se informará a los países de la retroalimentación del </w:t>
      </w:r>
      <w:r w:rsidR="002E6FA7" w:rsidRPr="00BE3239">
        <w:rPr>
          <w:rFonts w:ascii="Arial" w:hAnsi="Arial" w:cs="Arial"/>
          <w:sz w:val="22"/>
          <w:szCs w:val="30"/>
          <w:lang w:val="es-ES"/>
        </w:rPr>
        <w:t>CSPR.</w:t>
      </w:r>
    </w:p>
    <w:p w14:paraId="07F6F34A" w14:textId="77777777" w:rsidR="00EC284D" w:rsidRPr="00BE3239" w:rsidRDefault="00EC284D" w:rsidP="00D974A2">
      <w:pPr>
        <w:jc w:val="center"/>
        <w:rPr>
          <w:sz w:val="18"/>
          <w:lang w:val="es-ES"/>
        </w:rPr>
      </w:pPr>
    </w:p>
    <w:tbl>
      <w:tblPr>
        <w:tblW w:w="13292" w:type="dxa"/>
        <w:tblBorders>
          <w:top w:val="nil"/>
          <w:left w:val="nil"/>
          <w:right w:val="nil"/>
        </w:tblBorders>
        <w:tblLayout w:type="fixed"/>
        <w:tblLook w:val="0000" w:firstRow="0" w:lastRow="0" w:firstColumn="0" w:lastColumn="0" w:noHBand="0" w:noVBand="0"/>
      </w:tblPr>
      <w:tblGrid>
        <w:gridCol w:w="2822"/>
        <w:gridCol w:w="3828"/>
        <w:gridCol w:w="3523"/>
        <w:gridCol w:w="3119"/>
      </w:tblGrid>
      <w:tr w:rsidR="00CD308E" w:rsidRPr="002A5FB6" w14:paraId="51CE16E7" w14:textId="77777777" w:rsidTr="00C17A30">
        <w:tc>
          <w:tcPr>
            <w:tcW w:w="2822" w:type="dxa"/>
            <w:tcBorders>
              <w:top w:val="single" w:sz="10" w:space="0" w:color="000000"/>
              <w:left w:val="single" w:sz="10" w:space="0" w:color="000000"/>
              <w:bottom w:val="single" w:sz="10" w:space="0" w:color="000000"/>
              <w:right w:val="single" w:sz="10" w:space="0" w:color="000000"/>
            </w:tcBorders>
            <w:shd w:val="clear" w:color="auto" w:fill="CDDEAE"/>
            <w:tcMar>
              <w:top w:w="20" w:type="nil"/>
              <w:left w:w="20" w:type="nil"/>
              <w:bottom w:w="20" w:type="nil"/>
              <w:right w:w="20" w:type="nil"/>
            </w:tcMar>
            <w:vAlign w:val="center"/>
          </w:tcPr>
          <w:p w14:paraId="5B823705" w14:textId="77777777" w:rsidR="00EC284D" w:rsidRPr="00BE3239" w:rsidRDefault="00EC284D" w:rsidP="00D974A2">
            <w:pPr>
              <w:widowControl w:val="0"/>
              <w:autoSpaceDE w:val="0"/>
              <w:autoSpaceDN w:val="0"/>
              <w:adjustRightInd w:val="0"/>
              <w:jc w:val="center"/>
              <w:rPr>
                <w:rFonts w:ascii="Times" w:hAnsi="Times" w:cs="Times"/>
                <w:szCs w:val="32"/>
                <w:lang w:val="es-ES"/>
              </w:rPr>
            </w:pPr>
            <w:r w:rsidRPr="00BE3239">
              <w:rPr>
                <w:rFonts w:ascii="Arial Narrow" w:hAnsi="Arial Narrow" w:cs="Arial Narrow"/>
                <w:b/>
                <w:bCs/>
                <w:sz w:val="22"/>
                <w:szCs w:val="32"/>
                <w:lang w:val="es-ES"/>
              </w:rPr>
              <w:t xml:space="preserve">Requisitos para el </w:t>
            </w:r>
            <w:r w:rsidRPr="00BE3239">
              <w:rPr>
                <w:rFonts w:ascii="Arial Narrow" w:hAnsi="Arial Narrow" w:cs="Arial Narrow"/>
                <w:b/>
                <w:bCs/>
                <w:sz w:val="22"/>
                <w:szCs w:val="30"/>
                <w:lang w:val="es-ES"/>
              </w:rPr>
              <w:t>componente</w:t>
            </w:r>
            <w:r w:rsidRPr="00BE3239">
              <w:rPr>
                <w:rFonts w:ascii="Arial Narrow" w:hAnsi="Arial Narrow" w:cs="Arial Narrow"/>
                <w:b/>
                <w:bCs/>
                <w:sz w:val="22"/>
                <w:szCs w:val="32"/>
                <w:lang w:val="es-ES"/>
              </w:rPr>
              <w:t xml:space="preserve"> </w:t>
            </w:r>
            <w:r w:rsidRPr="00BE3239">
              <w:rPr>
                <w:rFonts w:ascii="Arial Narrow" w:hAnsi="Arial Narrow" w:cs="Arial Narrow"/>
                <w:b/>
                <w:bCs/>
                <w:sz w:val="22"/>
                <w:szCs w:val="30"/>
                <w:u w:val="single"/>
                <w:lang w:val="es-ES"/>
              </w:rPr>
              <w:t>fijo</w:t>
            </w:r>
            <w:r w:rsidRPr="00BE3239">
              <w:rPr>
                <w:rFonts w:ascii="Arial Narrow" w:hAnsi="Arial Narrow" w:cs="Arial Narrow"/>
                <w:b/>
                <w:bCs/>
                <w:sz w:val="22"/>
                <w:szCs w:val="32"/>
                <w:lang w:val="es-ES"/>
              </w:rPr>
              <w:t xml:space="preserve"> </w:t>
            </w:r>
            <w:r w:rsidRPr="00BE3239">
              <w:rPr>
                <w:rFonts w:ascii="Arial Narrow" w:hAnsi="Arial Narrow" w:cs="Arial Narrow"/>
                <w:b/>
                <w:bCs/>
                <w:sz w:val="22"/>
                <w:szCs w:val="30"/>
                <w:lang w:val="es-ES"/>
              </w:rPr>
              <w:t xml:space="preserve">de la Donación </w:t>
            </w:r>
            <w:r w:rsidR="002E6FA7" w:rsidRPr="00BE3239">
              <w:rPr>
                <w:rFonts w:ascii="Arial Narrow" w:hAnsi="Arial Narrow" w:cs="Arial Narrow"/>
                <w:b/>
                <w:bCs/>
                <w:sz w:val="22"/>
                <w:szCs w:val="30"/>
                <w:lang w:val="es-ES"/>
              </w:rPr>
              <w:t xml:space="preserve">para la </w:t>
            </w:r>
            <w:r w:rsidR="00CF284E" w:rsidRPr="00BE3239">
              <w:rPr>
                <w:rFonts w:ascii="Arial Narrow" w:hAnsi="Arial Narrow" w:cs="Arial Narrow"/>
                <w:b/>
                <w:bCs/>
                <w:sz w:val="22"/>
                <w:szCs w:val="30"/>
                <w:lang w:val="es-ES"/>
              </w:rPr>
              <w:t>Implementación</w:t>
            </w:r>
            <w:r w:rsidRPr="00BE3239">
              <w:rPr>
                <w:rFonts w:ascii="Arial Narrow" w:hAnsi="Arial Narrow" w:cs="Arial Narrow"/>
                <w:b/>
                <w:bCs/>
                <w:sz w:val="22"/>
                <w:szCs w:val="30"/>
                <w:lang w:val="es-ES"/>
              </w:rPr>
              <w:t xml:space="preserve"> del Programa (70% de la asignación)</w:t>
            </w:r>
          </w:p>
        </w:tc>
        <w:tc>
          <w:tcPr>
            <w:tcW w:w="3828" w:type="dxa"/>
            <w:tcBorders>
              <w:top w:val="single" w:sz="10" w:space="0" w:color="000000"/>
              <w:left w:val="single" w:sz="10" w:space="0" w:color="000000"/>
              <w:bottom w:val="single" w:sz="10" w:space="0" w:color="000000"/>
              <w:right w:val="single" w:sz="10" w:space="0" w:color="000000"/>
            </w:tcBorders>
            <w:shd w:val="clear" w:color="auto" w:fill="CDDEAE"/>
            <w:tcMar>
              <w:top w:w="20" w:type="nil"/>
              <w:left w:w="20" w:type="nil"/>
              <w:bottom w:w="20" w:type="nil"/>
              <w:right w:w="20" w:type="nil"/>
            </w:tcMar>
            <w:vAlign w:val="center"/>
          </w:tcPr>
          <w:p w14:paraId="2D85B3AD" w14:textId="77777777" w:rsidR="00EC284D" w:rsidRPr="00BE3239" w:rsidRDefault="00EC284D" w:rsidP="00D974A2">
            <w:pPr>
              <w:widowControl w:val="0"/>
              <w:autoSpaceDE w:val="0"/>
              <w:autoSpaceDN w:val="0"/>
              <w:adjustRightInd w:val="0"/>
              <w:jc w:val="center"/>
              <w:rPr>
                <w:rFonts w:ascii="Times" w:hAnsi="Times" w:cs="Times"/>
                <w:szCs w:val="32"/>
                <w:lang w:val="es-ES"/>
              </w:rPr>
            </w:pPr>
            <w:r w:rsidRPr="00BE3239">
              <w:rPr>
                <w:rFonts w:ascii="Arial Narrow" w:hAnsi="Arial Narrow" w:cs="Arial Narrow"/>
                <w:b/>
                <w:bCs/>
                <w:sz w:val="22"/>
                <w:szCs w:val="32"/>
                <w:lang w:val="es-ES"/>
              </w:rPr>
              <w:t>Especificaciones técnicas y fuentes de verificación</w:t>
            </w:r>
          </w:p>
        </w:tc>
        <w:tc>
          <w:tcPr>
            <w:tcW w:w="3523" w:type="dxa"/>
            <w:tcBorders>
              <w:top w:val="single" w:sz="10" w:space="0" w:color="000000"/>
              <w:left w:val="single" w:sz="10" w:space="0" w:color="000000"/>
              <w:bottom w:val="single" w:sz="10" w:space="0" w:color="000000"/>
              <w:right w:val="single" w:sz="10" w:space="0" w:color="000000"/>
            </w:tcBorders>
            <w:shd w:val="clear" w:color="auto" w:fill="CDDEAE"/>
            <w:tcMar>
              <w:top w:w="20" w:type="nil"/>
              <w:left w:w="20" w:type="nil"/>
              <w:bottom w:w="20" w:type="nil"/>
              <w:right w:w="20" w:type="nil"/>
            </w:tcMar>
            <w:vAlign w:val="center"/>
          </w:tcPr>
          <w:p w14:paraId="7D4ACD29" w14:textId="77777777" w:rsidR="00EC284D" w:rsidRPr="00BE3239" w:rsidRDefault="00EC284D" w:rsidP="00D974A2">
            <w:pPr>
              <w:widowControl w:val="0"/>
              <w:autoSpaceDE w:val="0"/>
              <w:autoSpaceDN w:val="0"/>
              <w:adjustRightInd w:val="0"/>
              <w:jc w:val="center"/>
              <w:rPr>
                <w:rFonts w:ascii="Times" w:hAnsi="Times" w:cs="Times"/>
                <w:szCs w:val="32"/>
                <w:lang w:val="es-ES"/>
              </w:rPr>
            </w:pPr>
            <w:r w:rsidRPr="00BE3239">
              <w:rPr>
                <w:rFonts w:ascii="Arial Narrow" w:hAnsi="Arial Narrow" w:cs="Arial Narrow"/>
                <w:b/>
                <w:bCs/>
                <w:sz w:val="22"/>
                <w:szCs w:val="32"/>
                <w:lang w:val="es-ES"/>
              </w:rPr>
              <w:t>Situación de país</w:t>
            </w:r>
          </w:p>
        </w:tc>
        <w:tc>
          <w:tcPr>
            <w:tcW w:w="3119" w:type="dxa"/>
            <w:tcBorders>
              <w:top w:val="single" w:sz="10" w:space="0" w:color="000000"/>
              <w:left w:val="single" w:sz="10" w:space="0" w:color="000000"/>
              <w:bottom w:val="single" w:sz="10" w:space="0" w:color="000000"/>
              <w:right w:val="single" w:sz="10" w:space="0" w:color="000000"/>
            </w:tcBorders>
            <w:shd w:val="clear" w:color="auto" w:fill="CDDEAE"/>
            <w:tcMar>
              <w:top w:w="20" w:type="nil"/>
              <w:left w:w="20" w:type="nil"/>
              <w:bottom w:w="20" w:type="nil"/>
              <w:right w:w="20" w:type="nil"/>
            </w:tcMar>
            <w:vAlign w:val="center"/>
          </w:tcPr>
          <w:p w14:paraId="39AD8B84" w14:textId="77777777" w:rsidR="00EC284D" w:rsidRPr="00BE3239" w:rsidRDefault="00EC284D" w:rsidP="00D974A2">
            <w:pPr>
              <w:widowControl w:val="0"/>
              <w:autoSpaceDE w:val="0"/>
              <w:autoSpaceDN w:val="0"/>
              <w:adjustRightInd w:val="0"/>
              <w:jc w:val="center"/>
              <w:rPr>
                <w:rFonts w:ascii="Times" w:hAnsi="Times" w:cs="Times"/>
                <w:szCs w:val="32"/>
                <w:lang w:val="es-ES"/>
              </w:rPr>
            </w:pPr>
            <w:r w:rsidRPr="00BE3239">
              <w:rPr>
                <w:rFonts w:ascii="Arial Narrow" w:hAnsi="Arial Narrow" w:cs="Arial Narrow"/>
                <w:b/>
                <w:bCs/>
                <w:sz w:val="22"/>
                <w:szCs w:val="32"/>
                <w:lang w:val="es-ES"/>
              </w:rPr>
              <w:t>Acciones identificadas (especificar el tiempo, qué se necesita hacer antes de la postulación y a medio / largo plazo)</w:t>
            </w:r>
          </w:p>
        </w:tc>
      </w:tr>
      <w:tr w:rsidR="00CD308E" w:rsidRPr="00BE3239" w14:paraId="510891B1" w14:textId="77777777" w:rsidTr="00C17A30">
        <w:tblPrEx>
          <w:tblBorders>
            <w:top w:val="none" w:sz="0" w:space="0" w:color="auto"/>
          </w:tblBorders>
        </w:tblPrEx>
        <w:tc>
          <w:tcPr>
            <w:tcW w:w="13292" w:type="dxa"/>
            <w:gridSpan w:val="4"/>
            <w:tcBorders>
              <w:top w:val="single" w:sz="10" w:space="0" w:color="000000"/>
              <w:left w:val="single" w:sz="10" w:space="0" w:color="000000"/>
              <w:bottom w:val="single" w:sz="10" w:space="0" w:color="000000"/>
            </w:tcBorders>
            <w:shd w:val="clear" w:color="auto" w:fill="E5EED5"/>
            <w:tcMar>
              <w:top w:w="20" w:type="nil"/>
              <w:left w:w="20" w:type="nil"/>
              <w:bottom w:w="20" w:type="nil"/>
              <w:right w:w="20" w:type="nil"/>
            </w:tcMar>
            <w:vAlign w:val="center"/>
          </w:tcPr>
          <w:p w14:paraId="6A516E7D" w14:textId="77777777" w:rsidR="00EC284D" w:rsidRPr="00BE3239" w:rsidRDefault="00EC284D" w:rsidP="00D974A2">
            <w:pPr>
              <w:widowControl w:val="0"/>
              <w:autoSpaceDE w:val="0"/>
              <w:autoSpaceDN w:val="0"/>
              <w:adjustRightInd w:val="0"/>
              <w:rPr>
                <w:rFonts w:ascii="Times" w:hAnsi="Times" w:cs="Times"/>
                <w:szCs w:val="32"/>
                <w:lang w:val="es-ES"/>
              </w:rPr>
            </w:pPr>
            <w:r w:rsidRPr="00BE3239">
              <w:rPr>
                <w:rFonts w:ascii="Arial Rounded MT Bold" w:hAnsi="Arial Rounded MT Bold" w:cs="Arial Rounded MT Bold"/>
                <w:sz w:val="22"/>
                <w:szCs w:val="32"/>
                <w:lang w:val="es-ES"/>
              </w:rPr>
              <w:t>Requisito 1: Un Plan del Sector Educativo (PSE) creíble y aprobado</w:t>
            </w:r>
          </w:p>
        </w:tc>
      </w:tr>
      <w:tr w:rsidR="00CD308E" w:rsidRPr="00BE3239" w14:paraId="74BFB4B8" w14:textId="77777777" w:rsidTr="00C17A30">
        <w:tblPrEx>
          <w:tblBorders>
            <w:top w:val="none" w:sz="0" w:space="0" w:color="auto"/>
          </w:tblBorders>
        </w:tblPrEx>
        <w:tc>
          <w:tcPr>
            <w:tcW w:w="13292" w:type="dxa"/>
            <w:gridSpan w:val="4"/>
            <w:tcBorders>
              <w:top w:val="single" w:sz="10" w:space="0" w:color="000000"/>
              <w:left w:val="single" w:sz="10" w:space="0" w:color="000000"/>
              <w:bottom w:val="single" w:sz="10" w:space="0" w:color="000000"/>
            </w:tcBorders>
            <w:shd w:val="clear" w:color="auto" w:fill="FFFFFF"/>
            <w:tcMar>
              <w:top w:w="20" w:type="nil"/>
              <w:left w:w="20" w:type="nil"/>
              <w:bottom w:w="20" w:type="nil"/>
              <w:right w:w="20" w:type="nil"/>
            </w:tcMar>
            <w:vAlign w:val="center"/>
          </w:tcPr>
          <w:p w14:paraId="50CA1CCD" w14:textId="77777777" w:rsidR="00EC284D" w:rsidRPr="00BE3239" w:rsidRDefault="00EC284D" w:rsidP="00D974A2">
            <w:pPr>
              <w:pStyle w:val="ListParagraph"/>
              <w:widowControl w:val="0"/>
              <w:numPr>
                <w:ilvl w:val="1"/>
                <w:numId w:val="21"/>
              </w:numPr>
              <w:autoSpaceDE w:val="0"/>
              <w:autoSpaceDN w:val="0"/>
              <w:adjustRightInd w:val="0"/>
              <w:rPr>
                <w:rFonts w:ascii="Times" w:hAnsi="Times" w:cs="Times"/>
                <w:szCs w:val="32"/>
                <w:lang w:val="es-ES"/>
              </w:rPr>
            </w:pPr>
            <w:r w:rsidRPr="00BE3239">
              <w:rPr>
                <w:rFonts w:ascii="Arial Narrow" w:hAnsi="Arial Narrow" w:cs="Arial Narrow"/>
                <w:b/>
                <w:bCs/>
                <w:sz w:val="20"/>
                <w:szCs w:val="26"/>
                <w:lang w:val="es-ES"/>
              </w:rPr>
              <w:t>Plan del sector educativo creí</w:t>
            </w:r>
            <w:r w:rsidR="002E6FA7" w:rsidRPr="00BE3239">
              <w:rPr>
                <w:rFonts w:ascii="Arial Narrow" w:hAnsi="Arial Narrow" w:cs="Arial Narrow"/>
                <w:b/>
                <w:bCs/>
                <w:sz w:val="20"/>
                <w:szCs w:val="26"/>
                <w:lang w:val="es-ES"/>
              </w:rPr>
              <w:t>ble</w:t>
            </w:r>
            <w:r w:rsidRPr="00BE3239">
              <w:rPr>
                <w:rFonts w:ascii="Arial Narrow" w:hAnsi="Arial Narrow" w:cs="Arial Narrow"/>
                <w:b/>
                <w:bCs/>
                <w:sz w:val="20"/>
                <w:szCs w:val="26"/>
                <w:lang w:val="es-ES"/>
              </w:rPr>
              <w:t>, incluyendo un plan de implementación plurianual con costos</w:t>
            </w:r>
          </w:p>
        </w:tc>
      </w:tr>
      <w:tr w:rsidR="00CD308E" w:rsidRPr="002A5FB6" w14:paraId="2DE1E1CB" w14:textId="77777777" w:rsidTr="008E0B33">
        <w:tblPrEx>
          <w:tblBorders>
            <w:top w:val="none" w:sz="0" w:space="0" w:color="auto"/>
          </w:tblBorders>
        </w:tblPrEx>
        <w:tc>
          <w:tcPr>
            <w:tcW w:w="2822"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7984E549" w14:textId="77777777" w:rsidR="00EC284D" w:rsidRPr="00BE3239" w:rsidRDefault="002E6FA7" w:rsidP="008E0B33">
            <w:pPr>
              <w:pStyle w:val="ListParagraph"/>
              <w:widowControl w:val="0"/>
              <w:numPr>
                <w:ilvl w:val="0"/>
                <w:numId w:val="22"/>
              </w:numPr>
              <w:tabs>
                <w:tab w:val="left" w:pos="940"/>
                <w:tab w:val="left" w:pos="1440"/>
              </w:tabs>
              <w:autoSpaceDE w:val="0"/>
              <w:autoSpaceDN w:val="0"/>
              <w:adjustRightInd w:val="0"/>
              <w:rPr>
                <w:rFonts w:ascii="Calibri" w:hAnsi="Calibri" w:cs="Calibri"/>
                <w:sz w:val="22"/>
                <w:szCs w:val="30"/>
                <w:lang w:val="es-ES"/>
              </w:rPr>
            </w:pPr>
            <w:r w:rsidRPr="00BE3239">
              <w:rPr>
                <w:rFonts w:ascii="Arial Narrow" w:hAnsi="Arial Narrow" w:cs="Arial Narrow"/>
                <w:sz w:val="20"/>
                <w:szCs w:val="26"/>
                <w:lang w:val="es-ES"/>
              </w:rPr>
              <w:t>Plan del Sector de la E</w:t>
            </w:r>
            <w:r w:rsidR="00EC284D" w:rsidRPr="00BE3239">
              <w:rPr>
                <w:rFonts w:ascii="Arial Narrow" w:hAnsi="Arial Narrow" w:cs="Arial Narrow"/>
                <w:sz w:val="20"/>
                <w:szCs w:val="26"/>
                <w:lang w:val="es-ES"/>
              </w:rPr>
              <w:t>ducación tiene que ser</w:t>
            </w:r>
            <w:r w:rsidR="00EC284D" w:rsidRPr="00BE3239">
              <w:rPr>
                <w:rFonts w:ascii="Calibri" w:hAnsi="Calibri" w:cs="Calibri"/>
                <w:sz w:val="22"/>
                <w:szCs w:val="30"/>
                <w:lang w:val="es-ES"/>
              </w:rPr>
              <w:t xml:space="preserve"> </w:t>
            </w:r>
            <w:r w:rsidR="00EC284D" w:rsidRPr="00BE3239">
              <w:rPr>
                <w:rFonts w:ascii="Arial Narrow" w:hAnsi="Arial Narrow" w:cs="Arial Narrow"/>
                <w:sz w:val="20"/>
                <w:szCs w:val="26"/>
                <w:lang w:val="es-ES"/>
              </w:rPr>
              <w:t>“creíble”</w:t>
            </w:r>
          </w:p>
          <w:p w14:paraId="7A5D17D4" w14:textId="77777777" w:rsidR="00EC284D" w:rsidRPr="00BE3239" w:rsidRDefault="00EC284D" w:rsidP="008E0B33">
            <w:pPr>
              <w:widowControl w:val="0"/>
              <w:tabs>
                <w:tab w:val="left" w:pos="940"/>
                <w:tab w:val="left" w:pos="1440"/>
              </w:tabs>
              <w:autoSpaceDE w:val="0"/>
              <w:autoSpaceDN w:val="0"/>
              <w:adjustRightInd w:val="0"/>
              <w:ind w:left="1440"/>
              <w:rPr>
                <w:rFonts w:ascii="Calibri" w:hAnsi="Calibri" w:cs="Calibri"/>
                <w:sz w:val="22"/>
                <w:szCs w:val="30"/>
                <w:lang w:val="es-ES"/>
              </w:rPr>
            </w:pPr>
          </w:p>
        </w:tc>
        <w:tc>
          <w:tcPr>
            <w:tcW w:w="3828"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60681906" w14:textId="77777777" w:rsidR="00EC284D" w:rsidRPr="00BE3239" w:rsidRDefault="00EC284D" w:rsidP="008E0B33">
            <w:pPr>
              <w:widowControl w:val="0"/>
              <w:autoSpaceDE w:val="0"/>
              <w:autoSpaceDN w:val="0"/>
              <w:adjustRightInd w:val="0"/>
              <w:rPr>
                <w:rFonts w:ascii="Times" w:hAnsi="Times" w:cs="Times"/>
                <w:szCs w:val="32"/>
                <w:lang w:val="es-ES"/>
              </w:rPr>
            </w:pPr>
            <w:r w:rsidRPr="00BE3239">
              <w:rPr>
                <w:rFonts w:ascii="Arial Narrow" w:hAnsi="Arial Narrow" w:cs="Arial Narrow"/>
                <w:sz w:val="20"/>
                <w:szCs w:val="26"/>
                <w:lang w:val="es-ES"/>
              </w:rPr>
              <w:t xml:space="preserve">Un Plan Sectorial de la Educación (ESP) creíble incluirá estrategias basadas en </w:t>
            </w:r>
            <w:r w:rsidR="00157E57" w:rsidRPr="00BE3239">
              <w:rPr>
                <w:rFonts w:ascii="Arial Narrow" w:hAnsi="Arial Narrow" w:cs="Arial Narrow"/>
                <w:sz w:val="20"/>
                <w:szCs w:val="26"/>
                <w:lang w:val="es-ES"/>
              </w:rPr>
              <w:t>evidencia</w:t>
            </w:r>
            <w:r w:rsidRPr="00BE3239">
              <w:rPr>
                <w:rFonts w:ascii="Arial Narrow" w:hAnsi="Arial Narrow" w:cs="Arial Narrow"/>
                <w:sz w:val="20"/>
                <w:szCs w:val="26"/>
                <w:lang w:val="es-ES"/>
              </w:rPr>
              <w:t xml:space="preserve"> para el acceso a una educación básica de calidad para todos, abarcará todos los subsectores y la educación formal y no formal, tendrá un equilibrio adecuado entre los subs</w:t>
            </w:r>
            <w:r w:rsidR="00157E57" w:rsidRPr="00BE3239">
              <w:rPr>
                <w:rFonts w:ascii="Arial Narrow" w:hAnsi="Arial Narrow" w:cs="Arial Narrow"/>
                <w:sz w:val="20"/>
                <w:szCs w:val="26"/>
                <w:lang w:val="es-ES"/>
              </w:rPr>
              <w:t>ectores y centrará su atención e</w:t>
            </w:r>
            <w:r w:rsidRPr="00BE3239">
              <w:rPr>
                <w:rFonts w:ascii="Arial Narrow" w:hAnsi="Arial Narrow" w:cs="Arial Narrow"/>
                <w:sz w:val="20"/>
                <w:szCs w:val="26"/>
                <w:lang w:val="es-ES"/>
              </w:rPr>
              <w:t>n el alumno como beneficiario central.</w:t>
            </w:r>
            <w:r w:rsidRPr="00BE3239">
              <w:rPr>
                <w:rFonts w:ascii="Times" w:hAnsi="Times" w:cs="Times"/>
                <w:szCs w:val="32"/>
                <w:lang w:val="es-ES"/>
              </w:rPr>
              <w:t xml:space="preserve"> </w:t>
            </w:r>
            <w:r w:rsidR="00157E57" w:rsidRPr="00BE3239">
              <w:rPr>
                <w:rFonts w:ascii="Arial Narrow" w:hAnsi="Arial Narrow" w:cs="Arial Narrow"/>
                <w:sz w:val="20"/>
                <w:szCs w:val="26"/>
                <w:lang w:val="es-ES"/>
              </w:rPr>
              <w:t>Para que sea factible, un PSE</w:t>
            </w:r>
            <w:r w:rsidRPr="00BE3239">
              <w:rPr>
                <w:rFonts w:ascii="Arial Narrow" w:hAnsi="Arial Narrow" w:cs="Arial Narrow"/>
                <w:sz w:val="20"/>
                <w:szCs w:val="26"/>
                <w:lang w:val="es-ES"/>
              </w:rPr>
              <w:t xml:space="preserve"> debe prestar atención a las restricciones financieras, técnicas y políticas y </w:t>
            </w:r>
            <w:r w:rsidR="005D551F" w:rsidRPr="00BE3239">
              <w:rPr>
                <w:rFonts w:ascii="Arial Narrow" w:hAnsi="Arial Narrow" w:cs="Arial Narrow"/>
                <w:sz w:val="20"/>
                <w:szCs w:val="26"/>
                <w:lang w:val="es-ES"/>
              </w:rPr>
              <w:t xml:space="preserve">el adueñamiento </w:t>
            </w:r>
            <w:r w:rsidRPr="00BE3239">
              <w:rPr>
                <w:rFonts w:ascii="Arial Narrow" w:hAnsi="Arial Narrow" w:cs="Arial Narrow"/>
                <w:sz w:val="20"/>
                <w:szCs w:val="26"/>
                <w:lang w:val="es-ES"/>
              </w:rPr>
              <w:t>de las partes interesadas, y ser sensible al contexto en lo que respecta a vulnerabilidades como conflictos, desastres naturales y crisis económica).</w:t>
            </w:r>
          </w:p>
          <w:p w14:paraId="1494E282" w14:textId="77777777" w:rsidR="00EC284D" w:rsidRPr="00BE3239" w:rsidRDefault="00EC284D" w:rsidP="008E0B33">
            <w:pPr>
              <w:widowControl w:val="0"/>
              <w:autoSpaceDE w:val="0"/>
              <w:autoSpaceDN w:val="0"/>
              <w:adjustRightInd w:val="0"/>
              <w:rPr>
                <w:rFonts w:ascii="Times" w:hAnsi="Times" w:cs="Times"/>
                <w:szCs w:val="32"/>
                <w:lang w:val="es-ES"/>
              </w:rPr>
            </w:pPr>
          </w:p>
          <w:p w14:paraId="2EC25B36" w14:textId="77777777" w:rsidR="00EC284D" w:rsidRPr="00BE3239" w:rsidRDefault="00EC284D" w:rsidP="008E0B33">
            <w:pPr>
              <w:widowControl w:val="0"/>
              <w:autoSpaceDE w:val="0"/>
              <w:autoSpaceDN w:val="0"/>
              <w:adjustRightInd w:val="0"/>
              <w:rPr>
                <w:rFonts w:ascii="Times" w:hAnsi="Times" w:cs="Times"/>
                <w:szCs w:val="32"/>
                <w:lang w:val="es-ES"/>
              </w:rPr>
            </w:pPr>
            <w:r w:rsidRPr="00BE3239">
              <w:rPr>
                <w:rFonts w:ascii="Arial Narrow" w:hAnsi="Arial Narrow" w:cs="Arial Narrow"/>
                <w:sz w:val="20"/>
                <w:szCs w:val="26"/>
                <w:lang w:val="es-ES"/>
              </w:rPr>
              <w:t xml:space="preserve">Para obtener información más detallada, por </w:t>
            </w:r>
            <w:r w:rsidRPr="00BE3239">
              <w:rPr>
                <w:rFonts w:ascii="Arial Narrow" w:hAnsi="Arial Narrow" w:cs="Arial Narrow"/>
                <w:sz w:val="20"/>
                <w:szCs w:val="26"/>
                <w:lang w:val="es-ES"/>
              </w:rPr>
              <w:lastRenderedPageBreak/>
              <w:t>favor refiérase a las</w:t>
            </w:r>
            <w:r w:rsidRPr="00BE3239">
              <w:rPr>
                <w:rFonts w:ascii="Times" w:hAnsi="Times" w:cs="Times"/>
                <w:szCs w:val="32"/>
                <w:lang w:val="es-ES"/>
              </w:rPr>
              <w:t xml:space="preserve"> </w:t>
            </w:r>
            <w:hyperlink r:id="rId5" w:history="1">
              <w:r w:rsidRPr="00BE3239">
                <w:rPr>
                  <w:rFonts w:ascii="Arial Narrow" w:hAnsi="Arial Narrow" w:cs="Arial Narrow"/>
                  <w:color w:val="0000FF"/>
                  <w:sz w:val="20"/>
                  <w:szCs w:val="26"/>
                  <w:u w:val="single" w:color="0000FF"/>
                  <w:lang w:val="es-ES"/>
                </w:rPr>
                <w:t>Directrices para la Preparación del Plan</w:t>
              </w:r>
            </w:hyperlink>
            <w:r w:rsidRPr="00BE3239">
              <w:rPr>
                <w:rFonts w:ascii="Times" w:hAnsi="Times" w:cs="Times"/>
                <w:szCs w:val="32"/>
                <w:lang w:val="es-ES"/>
              </w:rPr>
              <w:t xml:space="preserve"> </w:t>
            </w:r>
            <w:r w:rsidR="005D551F" w:rsidRPr="00BE3239">
              <w:rPr>
                <w:rFonts w:ascii="Arial Narrow" w:hAnsi="Arial Narrow" w:cs="Arial Narrow"/>
                <w:sz w:val="20"/>
                <w:szCs w:val="26"/>
                <w:lang w:val="es-ES"/>
              </w:rPr>
              <w:t>desarrollados por AME</w:t>
            </w:r>
            <w:r w:rsidRPr="00BE3239">
              <w:rPr>
                <w:rFonts w:ascii="Arial Narrow" w:hAnsi="Arial Narrow" w:cs="Arial Narrow"/>
                <w:sz w:val="20"/>
                <w:szCs w:val="26"/>
                <w:lang w:val="es-ES"/>
              </w:rPr>
              <w:t xml:space="preserve"> y la UNESCO / IIPE</w:t>
            </w:r>
          </w:p>
        </w:tc>
        <w:tc>
          <w:tcPr>
            <w:tcW w:w="3523"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142BD729" w14:textId="54E3FC63" w:rsidR="006A5F51" w:rsidRPr="00BE3239" w:rsidRDefault="00EC284D" w:rsidP="008E0B33">
            <w:pPr>
              <w:widowControl w:val="0"/>
              <w:autoSpaceDE w:val="0"/>
              <w:autoSpaceDN w:val="0"/>
              <w:adjustRightInd w:val="0"/>
              <w:rPr>
                <w:rFonts w:ascii="Arial Narrow" w:hAnsi="Arial Narrow" w:cs="Arial Narrow"/>
                <w:sz w:val="20"/>
                <w:szCs w:val="26"/>
                <w:lang w:val="es-ES"/>
              </w:rPr>
            </w:pPr>
            <w:r w:rsidRPr="00BE3239">
              <w:rPr>
                <w:rFonts w:ascii="Arial Narrow" w:hAnsi="Arial Narrow" w:cs="Arial Narrow"/>
                <w:sz w:val="20"/>
                <w:szCs w:val="26"/>
                <w:lang w:val="es-ES"/>
              </w:rPr>
              <w:lastRenderedPageBreak/>
              <w:t>El 16 de febrero, el Gobierno de Nicaragua y el Ministerio de Educación (MINED) compartieron</w:t>
            </w:r>
            <w:r w:rsidR="00C233F4" w:rsidRPr="00BE3239">
              <w:rPr>
                <w:rFonts w:ascii="Arial Narrow" w:hAnsi="Arial Narrow" w:cs="Arial Narrow"/>
                <w:sz w:val="20"/>
                <w:szCs w:val="26"/>
                <w:lang w:val="es-ES"/>
              </w:rPr>
              <w:t xml:space="preserve"> el borrador de</w:t>
            </w:r>
            <w:r w:rsidRPr="00BE3239">
              <w:rPr>
                <w:rFonts w:ascii="Arial Narrow" w:hAnsi="Arial Narrow" w:cs="Arial Narrow"/>
                <w:sz w:val="20"/>
                <w:szCs w:val="26"/>
                <w:lang w:val="es-ES"/>
              </w:rPr>
              <w:t xml:space="preserve"> su Plan de Educación 2017-2021 </w:t>
            </w:r>
            <w:r w:rsidR="00ED4525" w:rsidRPr="00BE3239">
              <w:rPr>
                <w:rFonts w:ascii="Arial Narrow" w:hAnsi="Arial Narrow" w:cs="Arial Narrow"/>
                <w:sz w:val="20"/>
                <w:szCs w:val="26"/>
                <w:lang w:val="es-ES"/>
              </w:rPr>
              <w:t>(</w:t>
            </w:r>
            <w:proofErr w:type="spellStart"/>
            <w:r w:rsidR="00ED4525" w:rsidRPr="00BE3239">
              <w:rPr>
                <w:rFonts w:ascii="Arial Narrow" w:hAnsi="Arial Narrow" w:cs="Arial Narrow"/>
                <w:sz w:val="20"/>
                <w:szCs w:val="26"/>
                <w:lang w:val="es-ES"/>
              </w:rPr>
              <w:t>PdE</w:t>
            </w:r>
            <w:proofErr w:type="spellEnd"/>
            <w:r w:rsidR="00ED4525" w:rsidRPr="00BE3239">
              <w:rPr>
                <w:rFonts w:ascii="Arial Narrow" w:hAnsi="Arial Narrow" w:cs="Arial Narrow"/>
                <w:sz w:val="20"/>
                <w:szCs w:val="26"/>
                <w:lang w:val="es-ES"/>
              </w:rPr>
              <w:t xml:space="preserve">) </w:t>
            </w:r>
            <w:r w:rsidRPr="00BE3239">
              <w:rPr>
                <w:rFonts w:ascii="Arial Narrow" w:hAnsi="Arial Narrow" w:cs="Arial Narrow"/>
                <w:sz w:val="20"/>
                <w:szCs w:val="26"/>
                <w:lang w:val="es-ES"/>
              </w:rPr>
              <w:t xml:space="preserve">con la comunidad de donantes. El Plan </w:t>
            </w:r>
            <w:r w:rsidR="00ED4525" w:rsidRPr="00BE3239">
              <w:rPr>
                <w:rFonts w:ascii="Arial Narrow" w:hAnsi="Arial Narrow" w:cs="Arial Narrow"/>
                <w:sz w:val="20"/>
                <w:szCs w:val="26"/>
                <w:lang w:val="es-ES"/>
              </w:rPr>
              <w:t xml:space="preserve">enfoca la Educación </w:t>
            </w:r>
            <w:r w:rsidR="00D974A2" w:rsidRPr="00BE3239">
              <w:rPr>
                <w:rFonts w:ascii="Arial Narrow" w:hAnsi="Arial Narrow" w:cs="Arial Narrow"/>
                <w:sz w:val="20"/>
                <w:szCs w:val="26"/>
                <w:lang w:val="es-ES"/>
              </w:rPr>
              <w:t xml:space="preserve">Básica </w:t>
            </w:r>
            <w:r w:rsidR="008122C4" w:rsidRPr="00BE3239">
              <w:rPr>
                <w:rFonts w:ascii="Arial Narrow" w:hAnsi="Arial Narrow" w:cs="Arial Narrow"/>
                <w:sz w:val="20"/>
                <w:szCs w:val="26"/>
                <w:lang w:val="es-ES"/>
              </w:rPr>
              <w:t>y Medi</w:t>
            </w:r>
            <w:r w:rsidR="000F48BC" w:rsidRPr="00BE3239">
              <w:rPr>
                <w:rFonts w:ascii="Arial Narrow" w:hAnsi="Arial Narrow" w:cs="Arial Narrow"/>
                <w:sz w:val="20"/>
                <w:szCs w:val="26"/>
                <w:lang w:val="es-ES"/>
              </w:rPr>
              <w:t>a, tanto formal como informal, e</w:t>
            </w:r>
            <w:r w:rsidR="008122C4" w:rsidRPr="00BE3239">
              <w:rPr>
                <w:rFonts w:ascii="Arial Narrow" w:hAnsi="Arial Narrow" w:cs="Arial Narrow"/>
                <w:sz w:val="20"/>
                <w:szCs w:val="26"/>
                <w:lang w:val="es-ES"/>
              </w:rPr>
              <w:t xml:space="preserve"> </w:t>
            </w:r>
            <w:r w:rsidR="00ED4525" w:rsidRPr="00BE3239">
              <w:rPr>
                <w:rFonts w:ascii="Arial Narrow" w:hAnsi="Arial Narrow" w:cs="Arial Narrow"/>
                <w:sz w:val="20"/>
                <w:szCs w:val="26"/>
                <w:lang w:val="es-ES"/>
              </w:rPr>
              <w:t>incluye elementos de colaboración entre el MINED, el INATEC, responsable del sub-sector de educación técnica</w:t>
            </w:r>
            <w:r w:rsidR="000F48BC" w:rsidRPr="00BE3239">
              <w:rPr>
                <w:rFonts w:ascii="Arial Narrow" w:hAnsi="Arial Narrow" w:cs="Arial Narrow"/>
                <w:sz w:val="20"/>
                <w:szCs w:val="26"/>
                <w:lang w:val="es-ES"/>
              </w:rPr>
              <w:t>,</w:t>
            </w:r>
            <w:r w:rsidR="00ED4525" w:rsidRPr="00BE3239">
              <w:rPr>
                <w:rFonts w:ascii="Arial Narrow" w:hAnsi="Arial Narrow" w:cs="Arial Narrow"/>
                <w:sz w:val="20"/>
                <w:szCs w:val="26"/>
                <w:lang w:val="es-ES"/>
              </w:rPr>
              <w:t xml:space="preserve"> y del Consejo Nacional d</w:t>
            </w:r>
            <w:r w:rsidR="0084651C" w:rsidRPr="00BE3239">
              <w:rPr>
                <w:rFonts w:ascii="Arial Narrow" w:hAnsi="Arial Narrow" w:cs="Arial Narrow"/>
                <w:sz w:val="20"/>
                <w:szCs w:val="26"/>
                <w:lang w:val="es-ES"/>
              </w:rPr>
              <w:t>e Universidad</w:t>
            </w:r>
            <w:r w:rsidR="000F48BC" w:rsidRPr="00BE3239">
              <w:rPr>
                <w:rFonts w:ascii="Arial Narrow" w:hAnsi="Arial Narrow" w:cs="Arial Narrow"/>
                <w:sz w:val="20"/>
                <w:szCs w:val="26"/>
                <w:lang w:val="es-ES"/>
              </w:rPr>
              <w:t>es</w:t>
            </w:r>
            <w:r w:rsidR="0084651C" w:rsidRPr="00BE3239">
              <w:rPr>
                <w:rFonts w:ascii="Arial Narrow" w:hAnsi="Arial Narrow" w:cs="Arial Narrow"/>
                <w:sz w:val="20"/>
                <w:szCs w:val="26"/>
                <w:lang w:val="es-ES"/>
              </w:rPr>
              <w:t xml:space="preserve"> (CNU), </w:t>
            </w:r>
            <w:r w:rsidR="000F48BC" w:rsidRPr="00BE3239">
              <w:rPr>
                <w:rFonts w:ascii="Arial Narrow" w:hAnsi="Arial Narrow" w:cs="Arial Narrow"/>
                <w:sz w:val="20"/>
                <w:szCs w:val="26"/>
                <w:lang w:val="es-ES"/>
              </w:rPr>
              <w:t xml:space="preserve">especialmente </w:t>
            </w:r>
            <w:r w:rsidR="008122C4" w:rsidRPr="00BE3239">
              <w:rPr>
                <w:rFonts w:ascii="Arial Narrow" w:hAnsi="Arial Narrow" w:cs="Arial Narrow"/>
                <w:sz w:val="20"/>
                <w:szCs w:val="26"/>
                <w:lang w:val="es-ES"/>
              </w:rPr>
              <w:t>en</w:t>
            </w:r>
            <w:r w:rsidR="000F48BC" w:rsidRPr="00BE3239">
              <w:rPr>
                <w:rFonts w:ascii="Arial Narrow" w:hAnsi="Arial Narrow" w:cs="Arial Narrow"/>
                <w:sz w:val="20"/>
                <w:szCs w:val="26"/>
                <w:lang w:val="es-ES"/>
              </w:rPr>
              <w:t xml:space="preserve"> las áreas de</w:t>
            </w:r>
            <w:r w:rsidR="00ED4525" w:rsidRPr="00BE3239">
              <w:rPr>
                <w:rFonts w:ascii="Arial Narrow" w:hAnsi="Arial Narrow" w:cs="Arial Narrow"/>
                <w:sz w:val="20"/>
                <w:szCs w:val="26"/>
                <w:lang w:val="es-ES"/>
              </w:rPr>
              <w:t xml:space="preserve"> articulación curricular y coordinación de formación docent</w:t>
            </w:r>
            <w:r w:rsidR="0084651C" w:rsidRPr="00BE3239">
              <w:rPr>
                <w:rFonts w:ascii="Arial Narrow" w:hAnsi="Arial Narrow" w:cs="Arial Narrow"/>
                <w:sz w:val="20"/>
                <w:szCs w:val="26"/>
                <w:lang w:val="es-ES"/>
              </w:rPr>
              <w:t xml:space="preserve">e </w:t>
            </w:r>
            <w:r w:rsidR="00ED4525" w:rsidRPr="00BE3239">
              <w:rPr>
                <w:rFonts w:ascii="Arial Narrow" w:hAnsi="Arial Narrow" w:cs="Arial Narrow"/>
                <w:sz w:val="20"/>
                <w:szCs w:val="26"/>
                <w:lang w:val="es-ES"/>
              </w:rPr>
              <w:t xml:space="preserve">para </w:t>
            </w:r>
            <w:r w:rsidR="0084651C" w:rsidRPr="00BE3239">
              <w:rPr>
                <w:rFonts w:ascii="Arial Narrow" w:hAnsi="Arial Narrow" w:cs="Arial Narrow"/>
                <w:sz w:val="20"/>
                <w:szCs w:val="26"/>
                <w:lang w:val="es-ES"/>
              </w:rPr>
              <w:t xml:space="preserve">todo </w:t>
            </w:r>
            <w:r w:rsidR="00ED4525" w:rsidRPr="00BE3239">
              <w:rPr>
                <w:rFonts w:ascii="Arial Narrow" w:hAnsi="Arial Narrow" w:cs="Arial Narrow"/>
                <w:sz w:val="20"/>
                <w:szCs w:val="26"/>
                <w:lang w:val="es-ES"/>
              </w:rPr>
              <w:t xml:space="preserve">el sector educación. </w:t>
            </w:r>
            <w:r w:rsidR="008122C4" w:rsidRPr="00BE3239">
              <w:rPr>
                <w:rFonts w:ascii="Arial Narrow" w:hAnsi="Arial Narrow" w:cs="Arial Narrow"/>
                <w:sz w:val="20"/>
                <w:szCs w:val="26"/>
                <w:lang w:val="es-ES"/>
              </w:rPr>
              <w:t>Esto representa un</w:t>
            </w:r>
            <w:r w:rsidR="00ED4525" w:rsidRPr="00BE3239">
              <w:rPr>
                <w:rFonts w:ascii="Arial Narrow" w:hAnsi="Arial Narrow" w:cs="Arial Narrow"/>
                <w:sz w:val="20"/>
                <w:szCs w:val="26"/>
                <w:lang w:val="es-ES"/>
              </w:rPr>
              <w:t xml:space="preserve"> avance </w:t>
            </w:r>
            <w:r w:rsidR="008122C4" w:rsidRPr="00BE3239">
              <w:rPr>
                <w:rFonts w:ascii="Arial Narrow" w:hAnsi="Arial Narrow" w:cs="Arial Narrow"/>
                <w:sz w:val="20"/>
                <w:szCs w:val="26"/>
                <w:lang w:val="es-ES"/>
              </w:rPr>
              <w:t xml:space="preserve">importante </w:t>
            </w:r>
            <w:r w:rsidR="00D974A2" w:rsidRPr="00BE3239">
              <w:rPr>
                <w:rFonts w:ascii="Arial Narrow" w:hAnsi="Arial Narrow" w:cs="Arial Narrow"/>
                <w:sz w:val="20"/>
                <w:szCs w:val="26"/>
                <w:lang w:val="es-ES"/>
              </w:rPr>
              <w:t>dado la de</w:t>
            </w:r>
            <w:r w:rsidR="008122C4" w:rsidRPr="00BE3239">
              <w:rPr>
                <w:rFonts w:ascii="Arial Narrow" w:hAnsi="Arial Narrow" w:cs="Arial Narrow"/>
                <w:sz w:val="20"/>
                <w:szCs w:val="26"/>
                <w:lang w:val="es-ES"/>
              </w:rPr>
              <w:t>limitaci</w:t>
            </w:r>
            <w:r w:rsidR="00D974A2" w:rsidRPr="00BE3239">
              <w:rPr>
                <w:rFonts w:ascii="Arial Narrow" w:hAnsi="Arial Narrow" w:cs="Arial Narrow"/>
                <w:sz w:val="20"/>
                <w:szCs w:val="26"/>
                <w:lang w:val="es-ES"/>
              </w:rPr>
              <w:t xml:space="preserve">ón de </w:t>
            </w:r>
            <w:r w:rsidR="00D974A2" w:rsidRPr="00BE3239">
              <w:rPr>
                <w:rFonts w:ascii="Arial Narrow" w:hAnsi="Arial Narrow" w:cs="Arial Narrow"/>
                <w:sz w:val="20"/>
                <w:szCs w:val="26"/>
                <w:lang w:val="es-ES"/>
              </w:rPr>
              <w:lastRenderedPageBreak/>
              <w:t>responsabilidades educativas entre instituciones</w:t>
            </w:r>
            <w:r w:rsidR="008122C4" w:rsidRPr="00BE3239">
              <w:rPr>
                <w:rFonts w:ascii="Arial Narrow" w:hAnsi="Arial Narrow" w:cs="Arial Narrow"/>
                <w:sz w:val="20"/>
                <w:szCs w:val="26"/>
                <w:lang w:val="es-ES"/>
              </w:rPr>
              <w:t xml:space="preserve"> </w:t>
            </w:r>
            <w:r w:rsidR="000F48BC" w:rsidRPr="00BE3239">
              <w:rPr>
                <w:rFonts w:ascii="Arial Narrow" w:hAnsi="Arial Narrow" w:cs="Arial Narrow"/>
                <w:sz w:val="20"/>
                <w:szCs w:val="26"/>
                <w:lang w:val="es-ES"/>
              </w:rPr>
              <w:t xml:space="preserve">que tiene el país históricamente. </w:t>
            </w:r>
          </w:p>
          <w:p w14:paraId="0B412AC0" w14:textId="794ECE3B" w:rsidR="006A5F51" w:rsidRPr="00BE3239" w:rsidRDefault="006A5F51" w:rsidP="008E0B33">
            <w:pPr>
              <w:widowControl w:val="0"/>
              <w:autoSpaceDE w:val="0"/>
              <w:autoSpaceDN w:val="0"/>
              <w:adjustRightInd w:val="0"/>
              <w:rPr>
                <w:rFonts w:ascii="Arial Narrow" w:hAnsi="Arial Narrow" w:cs="Arial Narrow"/>
                <w:sz w:val="20"/>
                <w:szCs w:val="26"/>
                <w:lang w:val="es-ES"/>
              </w:rPr>
            </w:pPr>
            <w:r w:rsidRPr="00BE3239">
              <w:rPr>
                <w:rFonts w:ascii="Arial Narrow" w:hAnsi="Arial Narrow" w:cs="Arial Narrow"/>
                <w:sz w:val="20"/>
                <w:szCs w:val="26"/>
                <w:lang w:val="es-ES"/>
              </w:rPr>
              <w:t xml:space="preserve">El </w:t>
            </w:r>
            <w:proofErr w:type="spellStart"/>
            <w:r w:rsidRPr="00BE3239">
              <w:rPr>
                <w:rFonts w:ascii="Arial Narrow" w:hAnsi="Arial Narrow" w:cs="Arial Narrow"/>
                <w:sz w:val="20"/>
                <w:szCs w:val="26"/>
                <w:lang w:val="es-ES"/>
              </w:rPr>
              <w:t>PdE</w:t>
            </w:r>
            <w:proofErr w:type="spellEnd"/>
            <w:r w:rsidRPr="00BE3239">
              <w:rPr>
                <w:rFonts w:ascii="Arial Narrow" w:hAnsi="Arial Narrow" w:cs="Arial Narrow"/>
                <w:sz w:val="20"/>
                <w:szCs w:val="26"/>
                <w:lang w:val="es-ES"/>
              </w:rPr>
              <w:t xml:space="preserve"> claramente enfoca a los estudiantes como los beneficiarios centrales, enfatizando el protagonismo de ellos, sus familias, y el personal docente. Ha sido elaborado con la participación de más de 1</w:t>
            </w:r>
            <w:r w:rsidR="00D974A2" w:rsidRPr="00BE3239">
              <w:rPr>
                <w:rFonts w:ascii="Arial Narrow" w:hAnsi="Arial Narrow" w:cs="Arial Narrow"/>
                <w:sz w:val="20"/>
                <w:szCs w:val="26"/>
                <w:lang w:val="es-ES"/>
              </w:rPr>
              <w:t>,</w:t>
            </w:r>
            <w:r w:rsidRPr="00BE3239">
              <w:rPr>
                <w:rFonts w:ascii="Arial Narrow" w:hAnsi="Arial Narrow" w:cs="Arial Narrow"/>
                <w:sz w:val="20"/>
                <w:szCs w:val="26"/>
                <w:lang w:val="es-ES"/>
              </w:rPr>
              <w:t xml:space="preserve">600 técnicos en las direcciones técnicas y las delegaciones territoriales del MINED y fuertemente apropiado por el Gobierno desde el nivel de </w:t>
            </w:r>
            <w:r w:rsidR="00D974A2" w:rsidRPr="00BE3239">
              <w:rPr>
                <w:rFonts w:ascii="Arial Narrow" w:hAnsi="Arial Narrow" w:cs="Arial Narrow"/>
                <w:sz w:val="20"/>
                <w:szCs w:val="26"/>
                <w:lang w:val="es-ES"/>
              </w:rPr>
              <w:t>la Presidencia de la República</w:t>
            </w:r>
            <w:r w:rsidR="00672065" w:rsidRPr="00BE3239">
              <w:rPr>
                <w:rFonts w:ascii="Arial Narrow" w:hAnsi="Arial Narrow" w:cs="Arial Narrow"/>
                <w:sz w:val="20"/>
                <w:szCs w:val="26"/>
                <w:lang w:val="es-ES"/>
              </w:rPr>
              <w:t xml:space="preserve"> que</w:t>
            </w:r>
            <w:r w:rsidR="00D974A2" w:rsidRPr="00BE3239">
              <w:rPr>
                <w:rFonts w:ascii="Arial Narrow" w:hAnsi="Arial Narrow" w:cs="Arial Narrow"/>
                <w:sz w:val="20"/>
                <w:szCs w:val="26"/>
                <w:lang w:val="es-ES"/>
              </w:rPr>
              <w:t xml:space="preserve"> </w:t>
            </w:r>
            <w:r w:rsidRPr="00BE3239">
              <w:rPr>
                <w:rFonts w:ascii="Arial Narrow" w:hAnsi="Arial Narrow" w:cs="Arial Narrow"/>
                <w:sz w:val="20"/>
                <w:szCs w:val="26"/>
                <w:lang w:val="es-ES"/>
              </w:rPr>
              <w:t xml:space="preserve">ha guiado su preparación. y elaborado en el sector.  </w:t>
            </w:r>
          </w:p>
          <w:p w14:paraId="7131F31E" w14:textId="4E30A0C1" w:rsidR="00EC284D" w:rsidRPr="00BE3239" w:rsidRDefault="003A414D" w:rsidP="008E0B33">
            <w:pPr>
              <w:widowControl w:val="0"/>
              <w:autoSpaceDE w:val="0"/>
              <w:autoSpaceDN w:val="0"/>
              <w:adjustRightInd w:val="0"/>
              <w:rPr>
                <w:rFonts w:ascii="Times" w:hAnsi="Times" w:cs="Times"/>
                <w:szCs w:val="32"/>
                <w:lang w:val="es-ES"/>
              </w:rPr>
            </w:pPr>
            <w:r w:rsidRPr="00BE3239">
              <w:rPr>
                <w:rFonts w:ascii="Arial Narrow" w:hAnsi="Arial Narrow" w:cs="Arial Narrow"/>
                <w:sz w:val="20"/>
                <w:szCs w:val="26"/>
                <w:lang w:val="es-ES"/>
              </w:rPr>
              <w:t>Respeta las restricciones financieras articuladas en el Marco Presupuestario de Mediano Plazo</w:t>
            </w:r>
            <w:r w:rsidR="00601645" w:rsidRPr="00BE3239">
              <w:rPr>
                <w:rFonts w:ascii="Arial Narrow" w:hAnsi="Arial Narrow" w:cs="Arial Narrow"/>
                <w:sz w:val="20"/>
                <w:szCs w:val="26"/>
                <w:lang w:val="es-ES"/>
              </w:rPr>
              <w:t xml:space="preserve">. </w:t>
            </w:r>
            <w:r w:rsidR="006A5F51" w:rsidRPr="00BE3239">
              <w:rPr>
                <w:rFonts w:ascii="Arial Narrow" w:hAnsi="Arial Narrow" w:cs="Arial Narrow"/>
                <w:sz w:val="20"/>
                <w:szCs w:val="26"/>
                <w:lang w:val="es-ES"/>
              </w:rPr>
              <w:t>Incorpora lecciones aprendidas acerca de</w:t>
            </w:r>
            <w:r w:rsidR="00601645" w:rsidRPr="00BE3239">
              <w:rPr>
                <w:rFonts w:ascii="Arial Narrow" w:hAnsi="Arial Narrow" w:cs="Arial Narrow"/>
                <w:sz w:val="20"/>
                <w:szCs w:val="26"/>
                <w:lang w:val="es-ES"/>
              </w:rPr>
              <w:t xml:space="preserve"> las limitaciones de la capacidad institucional, tanto en la didáctica como en la gestión educativa y la ejecución de obras de infraestructura. Enfatiza capacitación, equipamiento y</w:t>
            </w:r>
            <w:r w:rsidR="00672065" w:rsidRPr="00BE3239">
              <w:rPr>
                <w:rFonts w:ascii="Arial Narrow" w:hAnsi="Arial Narrow" w:cs="Arial Narrow"/>
                <w:sz w:val="20"/>
                <w:szCs w:val="26"/>
                <w:lang w:val="es-ES"/>
              </w:rPr>
              <w:t xml:space="preserve"> desarrollo de sistemas dirigido</w:t>
            </w:r>
            <w:r w:rsidR="00601645" w:rsidRPr="00BE3239">
              <w:rPr>
                <w:rFonts w:ascii="Arial Narrow" w:hAnsi="Arial Narrow" w:cs="Arial Narrow"/>
                <w:sz w:val="20"/>
                <w:szCs w:val="26"/>
                <w:lang w:val="es-ES"/>
              </w:rPr>
              <w:t xml:space="preserve">s a mejorar las prácticas pedagógicas, la gestión educativa local, y el embellecimiento y mantenimiento de las escuelas, apoyándose además en una participación masiva de padres y madres de familia que ya está en marcha.  </w:t>
            </w:r>
          </w:p>
        </w:tc>
        <w:tc>
          <w:tcPr>
            <w:tcW w:w="3119"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387FD867" w14:textId="77777777" w:rsidR="005B3540" w:rsidRPr="00BE3239" w:rsidRDefault="00EC284D" w:rsidP="008E0B33">
            <w:pPr>
              <w:widowControl w:val="0"/>
              <w:autoSpaceDE w:val="0"/>
              <w:autoSpaceDN w:val="0"/>
              <w:adjustRightInd w:val="0"/>
              <w:rPr>
                <w:rFonts w:ascii="Arial Narrow" w:hAnsi="Arial Narrow" w:cs="Arial Narrow"/>
                <w:sz w:val="20"/>
                <w:szCs w:val="26"/>
                <w:lang w:val="es-ES"/>
              </w:rPr>
            </w:pPr>
            <w:r w:rsidRPr="00BE3239">
              <w:rPr>
                <w:rFonts w:ascii="Arial Narrow" w:hAnsi="Arial Narrow" w:cs="Arial Narrow"/>
                <w:sz w:val="20"/>
                <w:szCs w:val="26"/>
                <w:lang w:val="es-ES"/>
              </w:rPr>
              <w:lastRenderedPageBreak/>
              <w:t>El grupo de educació</w:t>
            </w:r>
            <w:r w:rsidR="002E6FA7" w:rsidRPr="00BE3239">
              <w:rPr>
                <w:rFonts w:ascii="Arial Narrow" w:hAnsi="Arial Narrow" w:cs="Arial Narrow"/>
                <w:sz w:val="20"/>
                <w:szCs w:val="26"/>
                <w:lang w:val="es-ES"/>
              </w:rPr>
              <w:t xml:space="preserve">n local </w:t>
            </w:r>
            <w:r w:rsidR="005B3540" w:rsidRPr="00BE3239">
              <w:rPr>
                <w:rFonts w:ascii="Arial Narrow" w:hAnsi="Arial Narrow" w:cs="Arial Narrow"/>
                <w:sz w:val="20"/>
                <w:szCs w:val="26"/>
                <w:lang w:val="es-ES"/>
              </w:rPr>
              <w:t>se mantendrá atento a los avances en la coordinación entre las instituciones encargadas de los sub-sistemas educativos, especialmente entre la educación de jóvenes y adultos y la educación técnica y la formación profesional y entre las escuelas normales y las facultades de educación en las universidades nacionales.</w:t>
            </w:r>
          </w:p>
          <w:p w14:paraId="1B6B91E7" w14:textId="4B91229B" w:rsidR="00D974A2" w:rsidRPr="00BE3239" w:rsidRDefault="00672065" w:rsidP="008E0B33">
            <w:pPr>
              <w:widowControl w:val="0"/>
              <w:autoSpaceDE w:val="0"/>
              <w:autoSpaceDN w:val="0"/>
              <w:adjustRightInd w:val="0"/>
              <w:rPr>
                <w:rFonts w:ascii="Arial Narrow" w:hAnsi="Arial Narrow" w:cs="Arial Narrow"/>
                <w:sz w:val="20"/>
                <w:szCs w:val="26"/>
                <w:lang w:val="es-ES"/>
              </w:rPr>
            </w:pPr>
            <w:r w:rsidRPr="00BE3239">
              <w:rPr>
                <w:rFonts w:ascii="Arial Narrow" w:hAnsi="Arial Narrow" w:cs="Arial Narrow"/>
                <w:sz w:val="20"/>
                <w:szCs w:val="26"/>
                <w:lang w:val="es-ES"/>
              </w:rPr>
              <w:t xml:space="preserve">El </w:t>
            </w:r>
            <w:proofErr w:type="spellStart"/>
            <w:r w:rsidRPr="00BE3239">
              <w:rPr>
                <w:rFonts w:ascii="Arial Narrow" w:hAnsi="Arial Narrow" w:cs="Arial Narrow"/>
                <w:sz w:val="20"/>
                <w:szCs w:val="26"/>
                <w:lang w:val="es-ES"/>
              </w:rPr>
              <w:t>PdE</w:t>
            </w:r>
            <w:proofErr w:type="spellEnd"/>
            <w:r w:rsidRPr="00BE3239">
              <w:rPr>
                <w:rFonts w:ascii="Arial Narrow" w:hAnsi="Arial Narrow" w:cs="Arial Narrow"/>
                <w:sz w:val="20"/>
                <w:szCs w:val="26"/>
                <w:lang w:val="es-ES"/>
              </w:rPr>
              <w:t xml:space="preserve"> es</w:t>
            </w:r>
            <w:r w:rsidR="005B3540" w:rsidRPr="00BE3239">
              <w:rPr>
                <w:rFonts w:ascii="Arial Narrow" w:hAnsi="Arial Narrow" w:cs="Arial Narrow"/>
                <w:sz w:val="20"/>
                <w:szCs w:val="26"/>
                <w:lang w:val="es-ES"/>
              </w:rPr>
              <w:t xml:space="preserve"> un plan vivo que, a lo la</w:t>
            </w:r>
            <w:r w:rsidRPr="00BE3239">
              <w:rPr>
                <w:rFonts w:ascii="Arial Narrow" w:hAnsi="Arial Narrow" w:cs="Arial Narrow"/>
                <w:sz w:val="20"/>
                <w:szCs w:val="26"/>
                <w:lang w:val="es-ES"/>
              </w:rPr>
              <w:t>rgo de los cinco años, incorporará</w:t>
            </w:r>
            <w:r w:rsidR="005B3540" w:rsidRPr="00BE3239">
              <w:rPr>
                <w:rFonts w:ascii="Arial Narrow" w:hAnsi="Arial Narrow" w:cs="Arial Narrow"/>
                <w:sz w:val="20"/>
                <w:szCs w:val="26"/>
                <w:lang w:val="es-ES"/>
              </w:rPr>
              <w:t xml:space="preserve"> modificacion</w:t>
            </w:r>
            <w:r w:rsidR="00D974A2" w:rsidRPr="00BE3239">
              <w:rPr>
                <w:rFonts w:ascii="Arial Narrow" w:hAnsi="Arial Narrow" w:cs="Arial Narrow"/>
                <w:sz w:val="20"/>
                <w:szCs w:val="26"/>
                <w:lang w:val="es-ES"/>
              </w:rPr>
              <w:t>es derivadas de dichos avances, y sea complementado con otros documentos más detallados.</w:t>
            </w:r>
          </w:p>
          <w:p w14:paraId="7130B468" w14:textId="14649B48" w:rsidR="00672065" w:rsidRPr="001D3BBC" w:rsidRDefault="00672065" w:rsidP="008E0B33">
            <w:pPr>
              <w:widowControl w:val="0"/>
              <w:autoSpaceDE w:val="0"/>
              <w:autoSpaceDN w:val="0"/>
              <w:adjustRightInd w:val="0"/>
              <w:rPr>
                <w:rFonts w:ascii="Arial Narrow" w:hAnsi="Arial Narrow" w:cs="Arial Narrow"/>
                <w:sz w:val="20"/>
                <w:szCs w:val="26"/>
                <w:lang w:val="es-ES"/>
              </w:rPr>
            </w:pPr>
            <w:r w:rsidRPr="00BE3239">
              <w:rPr>
                <w:rFonts w:ascii="Arial Narrow" w:hAnsi="Arial Narrow" w:cs="Arial Narrow"/>
                <w:sz w:val="20"/>
                <w:szCs w:val="26"/>
                <w:lang w:val="es-ES"/>
              </w:rPr>
              <w:lastRenderedPageBreak/>
              <w:t xml:space="preserve">El </w:t>
            </w:r>
            <w:proofErr w:type="spellStart"/>
            <w:r w:rsidRPr="001D3BBC">
              <w:rPr>
                <w:rFonts w:ascii="Arial Narrow" w:hAnsi="Arial Narrow" w:cs="Arial Narrow"/>
                <w:sz w:val="20"/>
                <w:szCs w:val="26"/>
                <w:lang w:val="es-ES"/>
              </w:rPr>
              <w:t>PdE</w:t>
            </w:r>
            <w:proofErr w:type="spellEnd"/>
            <w:r w:rsidRPr="001D3BBC">
              <w:rPr>
                <w:rFonts w:ascii="Arial Narrow" w:hAnsi="Arial Narrow" w:cs="Arial Narrow"/>
                <w:sz w:val="20"/>
                <w:szCs w:val="26"/>
                <w:lang w:val="es-ES"/>
              </w:rPr>
              <w:t xml:space="preserve"> se estima publicar en el mes de </w:t>
            </w:r>
            <w:proofErr w:type="gramStart"/>
            <w:r w:rsidRPr="001D3BBC">
              <w:rPr>
                <w:rFonts w:ascii="Arial Narrow" w:hAnsi="Arial Narrow" w:cs="Arial Narrow"/>
                <w:sz w:val="20"/>
                <w:szCs w:val="26"/>
                <w:lang w:val="es-ES"/>
              </w:rPr>
              <w:t>Mayo</w:t>
            </w:r>
            <w:proofErr w:type="gramEnd"/>
            <w:r w:rsidR="004418A4" w:rsidRPr="001D3BBC">
              <w:rPr>
                <w:rFonts w:ascii="Arial Narrow" w:hAnsi="Arial Narrow" w:cs="Arial Narrow"/>
                <w:sz w:val="20"/>
                <w:szCs w:val="26"/>
                <w:lang w:val="es-ES"/>
              </w:rPr>
              <w:t xml:space="preserve"> 2017</w:t>
            </w:r>
            <w:r w:rsidRPr="001D3BBC">
              <w:rPr>
                <w:rFonts w:ascii="Arial Narrow" w:hAnsi="Arial Narrow" w:cs="Arial Narrow"/>
                <w:sz w:val="20"/>
                <w:szCs w:val="26"/>
                <w:lang w:val="es-ES"/>
              </w:rPr>
              <w:t>.</w:t>
            </w:r>
          </w:p>
          <w:p w14:paraId="0350C443" w14:textId="77777777" w:rsidR="00F37A09" w:rsidRPr="001D3BBC" w:rsidRDefault="00F37A09" w:rsidP="008E0B33">
            <w:pPr>
              <w:widowControl w:val="0"/>
              <w:autoSpaceDE w:val="0"/>
              <w:autoSpaceDN w:val="0"/>
              <w:adjustRightInd w:val="0"/>
              <w:rPr>
                <w:rFonts w:ascii="Arial Narrow" w:hAnsi="Arial Narrow" w:cs="Arial Narrow"/>
                <w:sz w:val="20"/>
                <w:szCs w:val="26"/>
                <w:lang w:val="es-ES"/>
              </w:rPr>
            </w:pPr>
          </w:p>
          <w:p w14:paraId="560EF4E7" w14:textId="5C70B51C" w:rsidR="002517B6" w:rsidRDefault="002517B6" w:rsidP="008E0B33">
            <w:pPr>
              <w:widowControl w:val="0"/>
              <w:autoSpaceDE w:val="0"/>
              <w:autoSpaceDN w:val="0"/>
              <w:adjustRightInd w:val="0"/>
              <w:rPr>
                <w:rFonts w:ascii="Arial Narrow" w:hAnsi="Arial Narrow" w:cs="Arial Narrow"/>
                <w:sz w:val="20"/>
                <w:szCs w:val="26"/>
                <w:lang w:val="es-ES"/>
              </w:rPr>
            </w:pPr>
            <w:r w:rsidRPr="001D3BBC">
              <w:rPr>
                <w:rFonts w:ascii="Arial Narrow" w:hAnsi="Arial Narrow" w:cs="Arial Narrow"/>
                <w:sz w:val="20"/>
                <w:szCs w:val="26"/>
                <w:lang w:val="es-ES"/>
              </w:rPr>
              <w:t xml:space="preserve">Considerando que el endoso al </w:t>
            </w:r>
            <w:proofErr w:type="spellStart"/>
            <w:r w:rsidRPr="001D3BBC">
              <w:rPr>
                <w:rFonts w:ascii="Arial Narrow" w:hAnsi="Arial Narrow" w:cs="Arial Narrow"/>
                <w:sz w:val="20"/>
                <w:szCs w:val="26"/>
                <w:lang w:val="es-ES"/>
              </w:rPr>
              <w:t>PdE</w:t>
            </w:r>
            <w:proofErr w:type="spellEnd"/>
            <w:r w:rsidRPr="001D3BBC">
              <w:rPr>
                <w:rFonts w:ascii="Arial Narrow" w:hAnsi="Arial Narrow" w:cs="Arial Narrow"/>
                <w:sz w:val="20"/>
                <w:szCs w:val="26"/>
                <w:lang w:val="es-ES"/>
              </w:rPr>
              <w:t xml:space="preserve"> por parte del grupo local de educación, expresa el respaldo en vías de alianza y complementariedad, queda a cargo del grupo local de educación el endoso de</w:t>
            </w:r>
            <w:r w:rsidR="00940794" w:rsidRPr="001D3BBC">
              <w:rPr>
                <w:rFonts w:ascii="Arial Narrow" w:hAnsi="Arial Narrow" w:cs="Arial Narrow"/>
                <w:sz w:val="20"/>
                <w:szCs w:val="26"/>
                <w:lang w:val="es-ES"/>
              </w:rPr>
              <w:t>l mismo</w:t>
            </w:r>
            <w:r w:rsidRPr="001D3BBC">
              <w:rPr>
                <w:rFonts w:ascii="Arial Narrow" w:hAnsi="Arial Narrow" w:cs="Arial Narrow"/>
                <w:sz w:val="20"/>
                <w:szCs w:val="26"/>
                <w:lang w:val="es-ES"/>
              </w:rPr>
              <w:t>.</w:t>
            </w:r>
          </w:p>
          <w:p w14:paraId="19E97ABD" w14:textId="396D7712" w:rsidR="00672065" w:rsidRPr="00BE3239" w:rsidRDefault="00672065" w:rsidP="00F37A09">
            <w:pPr>
              <w:widowControl w:val="0"/>
              <w:autoSpaceDE w:val="0"/>
              <w:autoSpaceDN w:val="0"/>
              <w:adjustRightInd w:val="0"/>
              <w:jc w:val="center"/>
              <w:rPr>
                <w:rFonts w:ascii="Arial Narrow" w:hAnsi="Arial Narrow" w:cs="Arial Narrow"/>
                <w:sz w:val="20"/>
                <w:szCs w:val="26"/>
                <w:lang w:val="es-ES"/>
              </w:rPr>
            </w:pPr>
          </w:p>
          <w:p w14:paraId="13C2A934" w14:textId="1BC64157" w:rsidR="00EC284D" w:rsidRPr="00BE3239" w:rsidRDefault="00D974A2" w:rsidP="008E0B33">
            <w:pPr>
              <w:widowControl w:val="0"/>
              <w:autoSpaceDE w:val="0"/>
              <w:autoSpaceDN w:val="0"/>
              <w:adjustRightInd w:val="0"/>
              <w:rPr>
                <w:rFonts w:ascii="Times" w:hAnsi="Times" w:cs="Times"/>
                <w:szCs w:val="32"/>
                <w:lang w:val="es-ES"/>
              </w:rPr>
            </w:pPr>
            <w:r w:rsidRPr="00BE3239">
              <w:rPr>
                <w:rFonts w:ascii="Times" w:hAnsi="Times" w:cs="Times"/>
                <w:szCs w:val="32"/>
                <w:lang w:val="es-ES"/>
              </w:rPr>
              <w:t xml:space="preserve"> </w:t>
            </w:r>
          </w:p>
        </w:tc>
      </w:tr>
      <w:tr w:rsidR="00CD308E" w:rsidRPr="002A5FB6" w14:paraId="1EC0D92F" w14:textId="77777777" w:rsidTr="004418A4">
        <w:tblPrEx>
          <w:tblBorders>
            <w:top w:val="none" w:sz="0" w:space="0" w:color="auto"/>
          </w:tblBorders>
        </w:tblPrEx>
        <w:trPr>
          <w:trHeight w:val="1610"/>
        </w:trPr>
        <w:tc>
          <w:tcPr>
            <w:tcW w:w="2822"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4DA00189" w14:textId="5D951AE0" w:rsidR="00EC284D" w:rsidRPr="00BE3239" w:rsidRDefault="0091643E" w:rsidP="008E0B33">
            <w:pPr>
              <w:pStyle w:val="ListParagraph"/>
              <w:widowControl w:val="0"/>
              <w:numPr>
                <w:ilvl w:val="0"/>
                <w:numId w:val="22"/>
              </w:numPr>
              <w:tabs>
                <w:tab w:val="left" w:pos="940"/>
                <w:tab w:val="left" w:pos="1440"/>
              </w:tabs>
              <w:autoSpaceDE w:val="0"/>
              <w:autoSpaceDN w:val="0"/>
              <w:adjustRightInd w:val="0"/>
              <w:rPr>
                <w:rFonts w:ascii="Times" w:hAnsi="Times" w:cs="Times"/>
                <w:szCs w:val="32"/>
                <w:lang w:val="es-ES"/>
              </w:rPr>
            </w:pPr>
            <w:r w:rsidRPr="00BE3239">
              <w:rPr>
                <w:rFonts w:ascii="Arial Narrow" w:hAnsi="Arial Narrow" w:cs="Arial Narrow"/>
                <w:sz w:val="20"/>
                <w:szCs w:val="26"/>
                <w:lang w:val="es-ES"/>
              </w:rPr>
              <w:lastRenderedPageBreak/>
              <w:t>Endosado</w:t>
            </w:r>
            <w:r w:rsidR="00EC284D" w:rsidRPr="00BE3239">
              <w:rPr>
                <w:rFonts w:ascii="Arial Narrow" w:hAnsi="Arial Narrow" w:cs="Arial Narrow"/>
                <w:sz w:val="20"/>
                <w:szCs w:val="26"/>
                <w:lang w:val="es-ES"/>
              </w:rPr>
              <w:t xml:space="preserve"> a más tardar 3 meses antes de la presentación de la solicitud de </w:t>
            </w:r>
            <w:r w:rsidR="008643E4" w:rsidRPr="00BE3239">
              <w:rPr>
                <w:rFonts w:ascii="Arial Narrow" w:hAnsi="Arial Narrow" w:cs="Arial Narrow"/>
                <w:sz w:val="20"/>
                <w:szCs w:val="26"/>
                <w:lang w:val="es-ES"/>
              </w:rPr>
              <w:t>financiamiento</w:t>
            </w:r>
            <w:r w:rsidR="00EC284D" w:rsidRPr="00BE3239">
              <w:rPr>
                <w:rFonts w:ascii="Arial Narrow" w:hAnsi="Arial Narrow" w:cs="Arial Narrow"/>
                <w:sz w:val="20"/>
                <w:szCs w:val="26"/>
                <w:lang w:val="es-ES"/>
              </w:rPr>
              <w:t xml:space="preserve"> para la ejecución del programa</w:t>
            </w:r>
          </w:p>
          <w:p w14:paraId="0E67C7FA" w14:textId="77777777" w:rsidR="00EC284D" w:rsidRPr="00BE3239" w:rsidRDefault="00EC284D" w:rsidP="008E0B33">
            <w:pPr>
              <w:widowControl w:val="0"/>
              <w:tabs>
                <w:tab w:val="left" w:pos="940"/>
                <w:tab w:val="left" w:pos="1440"/>
              </w:tabs>
              <w:autoSpaceDE w:val="0"/>
              <w:autoSpaceDN w:val="0"/>
              <w:adjustRightInd w:val="0"/>
              <w:ind w:left="1440"/>
              <w:rPr>
                <w:rFonts w:ascii="Times" w:hAnsi="Times" w:cs="Times"/>
                <w:szCs w:val="32"/>
                <w:lang w:val="es-ES"/>
              </w:rPr>
            </w:pPr>
          </w:p>
        </w:tc>
        <w:tc>
          <w:tcPr>
            <w:tcW w:w="3828"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3E6F882E" w14:textId="43DCD61E" w:rsidR="00EC284D" w:rsidRPr="00BE3239" w:rsidRDefault="00EC284D" w:rsidP="000638D2">
            <w:pPr>
              <w:widowControl w:val="0"/>
              <w:autoSpaceDE w:val="0"/>
              <w:autoSpaceDN w:val="0"/>
              <w:adjustRightInd w:val="0"/>
              <w:rPr>
                <w:rFonts w:ascii="Times" w:hAnsi="Times" w:cs="Times"/>
                <w:szCs w:val="32"/>
                <w:lang w:val="es-ES"/>
              </w:rPr>
            </w:pPr>
            <w:r w:rsidRPr="00BE3239">
              <w:rPr>
                <w:rFonts w:ascii="Arial Narrow" w:hAnsi="Arial Narrow" w:cs="Arial Narrow"/>
                <w:sz w:val="20"/>
                <w:szCs w:val="26"/>
                <w:lang w:val="es-ES"/>
              </w:rPr>
              <w:t xml:space="preserve">Este criterio se basa exclusivamente en el proceso de </w:t>
            </w:r>
            <w:r w:rsidR="000638D2" w:rsidRPr="00BE3239">
              <w:rPr>
                <w:rFonts w:ascii="Arial Narrow" w:hAnsi="Arial Narrow" w:cs="Arial Narrow"/>
                <w:sz w:val="20"/>
                <w:szCs w:val="26"/>
                <w:lang w:val="es-ES"/>
              </w:rPr>
              <w:t xml:space="preserve">endoso </w:t>
            </w:r>
            <w:r w:rsidRPr="00BE3239">
              <w:rPr>
                <w:rFonts w:ascii="Arial Narrow" w:hAnsi="Arial Narrow" w:cs="Arial Narrow"/>
                <w:sz w:val="20"/>
                <w:szCs w:val="26"/>
                <w:lang w:val="es-ES"/>
              </w:rPr>
              <w:t>y no discute la calidad,</w:t>
            </w:r>
            <w:r w:rsidR="008643E4" w:rsidRPr="00BE3239">
              <w:rPr>
                <w:rFonts w:ascii="Arial Narrow" w:hAnsi="Arial Narrow" w:cs="Arial Narrow"/>
                <w:sz w:val="20"/>
                <w:szCs w:val="26"/>
                <w:lang w:val="es-ES"/>
              </w:rPr>
              <w:t xml:space="preserve"> credibilidad y factibilidad del PSE</w:t>
            </w:r>
            <w:r w:rsidRPr="00BE3239">
              <w:rPr>
                <w:rFonts w:ascii="Arial Narrow" w:hAnsi="Arial Narrow" w:cs="Arial Narrow"/>
                <w:sz w:val="20"/>
                <w:szCs w:val="26"/>
                <w:lang w:val="es-ES"/>
              </w:rPr>
              <w:t xml:space="preserve"> (ver arriba)</w:t>
            </w:r>
          </w:p>
        </w:tc>
        <w:tc>
          <w:tcPr>
            <w:tcW w:w="3523"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57C815B1" w14:textId="1F96B26C" w:rsidR="00EC284D" w:rsidRPr="00BE3239" w:rsidRDefault="005B3540" w:rsidP="008E0B33">
            <w:pPr>
              <w:widowControl w:val="0"/>
              <w:autoSpaceDE w:val="0"/>
              <w:autoSpaceDN w:val="0"/>
              <w:adjustRightInd w:val="0"/>
              <w:rPr>
                <w:rFonts w:ascii="Times" w:hAnsi="Times" w:cs="Times"/>
                <w:szCs w:val="32"/>
                <w:lang w:val="es-ES"/>
              </w:rPr>
            </w:pPr>
            <w:r w:rsidRPr="00BE3239">
              <w:rPr>
                <w:rFonts w:ascii="Arial Narrow" w:hAnsi="Arial Narrow" w:cs="Arial Narrow"/>
                <w:sz w:val="20"/>
                <w:szCs w:val="26"/>
                <w:lang w:val="es-ES"/>
              </w:rPr>
              <w:t>El MINED ha respondido a las preguntas planteadas por los socios de desarrollo y se anticipa que la versión final enriquecida con algunas modificaciones será publ</w:t>
            </w:r>
            <w:r w:rsidR="00DE6FBD" w:rsidRPr="00BE3239">
              <w:rPr>
                <w:rFonts w:ascii="Arial Narrow" w:hAnsi="Arial Narrow" w:cs="Arial Narrow"/>
                <w:sz w:val="20"/>
                <w:szCs w:val="26"/>
                <w:lang w:val="es-ES"/>
              </w:rPr>
              <w:t xml:space="preserve">icada por el gobierno </w:t>
            </w:r>
            <w:r w:rsidRPr="00BE3239">
              <w:rPr>
                <w:rFonts w:ascii="Arial Narrow" w:hAnsi="Arial Narrow" w:cs="Arial Narrow"/>
                <w:sz w:val="20"/>
                <w:szCs w:val="26"/>
                <w:lang w:val="es-ES"/>
              </w:rPr>
              <w:t xml:space="preserve">en el mes de </w:t>
            </w:r>
            <w:proofErr w:type="gramStart"/>
            <w:r w:rsidRPr="00BE3239">
              <w:rPr>
                <w:rFonts w:ascii="Arial Narrow" w:hAnsi="Arial Narrow" w:cs="Arial Narrow"/>
                <w:sz w:val="20"/>
                <w:szCs w:val="26"/>
                <w:lang w:val="es-ES"/>
              </w:rPr>
              <w:t>Mayo</w:t>
            </w:r>
            <w:proofErr w:type="gramEnd"/>
            <w:r w:rsidRPr="00BE3239">
              <w:rPr>
                <w:rFonts w:ascii="Arial Narrow" w:hAnsi="Arial Narrow" w:cs="Arial Narrow"/>
                <w:sz w:val="20"/>
                <w:szCs w:val="26"/>
                <w:lang w:val="es-ES"/>
              </w:rPr>
              <w:t xml:space="preserve">, 2017.  </w:t>
            </w:r>
          </w:p>
        </w:tc>
        <w:tc>
          <w:tcPr>
            <w:tcW w:w="3119"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65B13CB8" w14:textId="17879754" w:rsidR="00EC284D" w:rsidRPr="00BE3239" w:rsidRDefault="00EC284D" w:rsidP="008E0B33">
            <w:pPr>
              <w:widowControl w:val="0"/>
              <w:autoSpaceDE w:val="0"/>
              <w:autoSpaceDN w:val="0"/>
              <w:adjustRightInd w:val="0"/>
              <w:rPr>
                <w:rFonts w:ascii="Arial Narrow" w:hAnsi="Arial Narrow" w:cs="Arial Narrow"/>
                <w:sz w:val="20"/>
                <w:szCs w:val="26"/>
                <w:lang w:val="es-ES"/>
              </w:rPr>
            </w:pPr>
            <w:r w:rsidRPr="00BE3239">
              <w:rPr>
                <w:rFonts w:ascii="Arial Narrow" w:hAnsi="Arial Narrow" w:cs="Arial Narrow"/>
                <w:sz w:val="20"/>
                <w:szCs w:val="26"/>
                <w:lang w:val="es-ES"/>
              </w:rPr>
              <w:t xml:space="preserve">MINED y el grupo de educación local </w:t>
            </w:r>
            <w:r w:rsidR="000638D2" w:rsidRPr="00BE3239">
              <w:rPr>
                <w:rFonts w:ascii="Arial Narrow" w:hAnsi="Arial Narrow" w:cs="Arial Narrow"/>
                <w:sz w:val="20"/>
                <w:szCs w:val="26"/>
                <w:lang w:val="es-ES"/>
              </w:rPr>
              <w:t>trabajarán en función de</w:t>
            </w:r>
            <w:r w:rsidRPr="00BE3239">
              <w:rPr>
                <w:rFonts w:ascii="Arial Narrow" w:hAnsi="Arial Narrow" w:cs="Arial Narrow"/>
                <w:sz w:val="20"/>
                <w:szCs w:val="26"/>
                <w:lang w:val="es-ES"/>
              </w:rPr>
              <w:t xml:space="preserve"> presentar la solicitud de </w:t>
            </w:r>
            <w:r w:rsidR="000A3BC3" w:rsidRPr="00BE3239">
              <w:rPr>
                <w:rFonts w:ascii="Arial Narrow" w:hAnsi="Arial Narrow" w:cs="Arial Narrow"/>
                <w:sz w:val="20"/>
                <w:szCs w:val="26"/>
                <w:lang w:val="es-ES"/>
              </w:rPr>
              <w:t>donación</w:t>
            </w:r>
            <w:r w:rsidRPr="00BE3239">
              <w:rPr>
                <w:rFonts w:ascii="Arial Narrow" w:hAnsi="Arial Narrow" w:cs="Arial Narrow"/>
                <w:sz w:val="20"/>
                <w:szCs w:val="26"/>
                <w:lang w:val="es-ES"/>
              </w:rPr>
              <w:t xml:space="preserve"> antes de la fecha límite del 1</w:t>
            </w:r>
            <w:r w:rsidR="004418A4" w:rsidRPr="00BE3239">
              <w:rPr>
                <w:rFonts w:ascii="Arial Narrow" w:hAnsi="Arial Narrow" w:cs="Arial Narrow"/>
                <w:sz w:val="20"/>
                <w:szCs w:val="26"/>
                <w:lang w:val="es-ES"/>
              </w:rPr>
              <w:t>°</w:t>
            </w:r>
            <w:r w:rsidRPr="00BE3239">
              <w:rPr>
                <w:rFonts w:ascii="Arial Narrow" w:hAnsi="Arial Narrow" w:cs="Arial Narrow"/>
                <w:sz w:val="20"/>
                <w:szCs w:val="26"/>
                <w:lang w:val="es-ES"/>
              </w:rPr>
              <w:t xml:space="preserve"> de agosto de 2017.</w:t>
            </w:r>
          </w:p>
          <w:p w14:paraId="31F4FDFE" w14:textId="3B522392" w:rsidR="0091643E" w:rsidRPr="00BE3239" w:rsidRDefault="0091643E" w:rsidP="000638D2">
            <w:pPr>
              <w:widowControl w:val="0"/>
              <w:autoSpaceDE w:val="0"/>
              <w:autoSpaceDN w:val="0"/>
              <w:adjustRightInd w:val="0"/>
              <w:rPr>
                <w:rFonts w:ascii="Calibri" w:hAnsi="Calibri" w:cs="Calibri"/>
                <w:sz w:val="22"/>
                <w:szCs w:val="30"/>
                <w:lang w:val="es-ES"/>
              </w:rPr>
            </w:pPr>
            <w:r w:rsidRPr="00BE3239">
              <w:rPr>
                <w:rFonts w:ascii="Arial Narrow" w:hAnsi="Arial Narrow" w:cs="Arial Narrow"/>
                <w:sz w:val="20"/>
                <w:szCs w:val="26"/>
                <w:lang w:val="es-ES"/>
              </w:rPr>
              <w:t xml:space="preserve">El </w:t>
            </w:r>
            <w:r w:rsidR="000638D2" w:rsidRPr="00BE3239">
              <w:rPr>
                <w:rFonts w:ascii="Arial Narrow" w:hAnsi="Arial Narrow" w:cs="Arial Narrow"/>
                <w:sz w:val="20"/>
                <w:szCs w:val="26"/>
                <w:lang w:val="es-ES"/>
              </w:rPr>
              <w:t xml:space="preserve">endoso al </w:t>
            </w:r>
            <w:proofErr w:type="spellStart"/>
            <w:r w:rsidR="000638D2" w:rsidRPr="00BE3239">
              <w:rPr>
                <w:rFonts w:ascii="Arial Narrow" w:hAnsi="Arial Narrow" w:cs="Arial Narrow"/>
                <w:sz w:val="20"/>
                <w:szCs w:val="26"/>
                <w:lang w:val="es-ES"/>
              </w:rPr>
              <w:t>PdE</w:t>
            </w:r>
            <w:proofErr w:type="spellEnd"/>
            <w:r w:rsidR="000638D2" w:rsidRPr="00BE3239">
              <w:rPr>
                <w:rFonts w:ascii="Arial Narrow" w:hAnsi="Arial Narrow" w:cs="Arial Narrow"/>
                <w:sz w:val="20"/>
                <w:szCs w:val="26"/>
                <w:lang w:val="es-ES"/>
              </w:rPr>
              <w:t xml:space="preserve"> por el grupo de educación local será en la versión oficial a publicar, tomando como base los acuerdos de las sesiones de trabajo del 19 y 20 de abril.</w:t>
            </w:r>
          </w:p>
        </w:tc>
      </w:tr>
      <w:tr w:rsidR="00CD308E" w:rsidRPr="002A5FB6" w14:paraId="13D10297" w14:textId="77777777" w:rsidTr="008E0B33">
        <w:tblPrEx>
          <w:tblBorders>
            <w:top w:val="none" w:sz="0" w:space="0" w:color="auto"/>
          </w:tblBorders>
        </w:tblPrEx>
        <w:tc>
          <w:tcPr>
            <w:tcW w:w="2822"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6758A6BB" w14:textId="77777777" w:rsidR="00EC284D" w:rsidRPr="00BE3239" w:rsidRDefault="00EC284D" w:rsidP="008E0B33">
            <w:pPr>
              <w:pStyle w:val="ListParagraph"/>
              <w:widowControl w:val="0"/>
              <w:numPr>
                <w:ilvl w:val="0"/>
                <w:numId w:val="22"/>
              </w:numPr>
              <w:tabs>
                <w:tab w:val="left" w:pos="940"/>
                <w:tab w:val="left" w:pos="1440"/>
              </w:tabs>
              <w:autoSpaceDE w:val="0"/>
              <w:autoSpaceDN w:val="0"/>
              <w:adjustRightInd w:val="0"/>
              <w:rPr>
                <w:rFonts w:ascii="Calibri" w:hAnsi="Calibri" w:cs="Calibri"/>
                <w:sz w:val="22"/>
                <w:szCs w:val="30"/>
                <w:lang w:val="es-ES"/>
              </w:rPr>
            </w:pPr>
            <w:r w:rsidRPr="00BE3239">
              <w:rPr>
                <w:rFonts w:ascii="Arial Narrow" w:hAnsi="Arial Narrow" w:cs="Arial Narrow"/>
                <w:sz w:val="20"/>
                <w:szCs w:val="26"/>
                <w:lang w:val="es-ES"/>
              </w:rPr>
              <w:t>Plan de ejecució</w:t>
            </w:r>
            <w:r w:rsidR="0089108E" w:rsidRPr="00BE3239">
              <w:rPr>
                <w:rFonts w:ascii="Arial Narrow" w:hAnsi="Arial Narrow" w:cs="Arial Narrow"/>
                <w:sz w:val="20"/>
                <w:szCs w:val="26"/>
                <w:lang w:val="es-ES"/>
              </w:rPr>
              <w:t>n plurianual de gastos que cubre</w:t>
            </w:r>
            <w:r w:rsidRPr="00BE3239">
              <w:rPr>
                <w:rFonts w:ascii="Arial Narrow" w:hAnsi="Arial Narrow" w:cs="Arial Narrow"/>
                <w:sz w:val="20"/>
                <w:szCs w:val="26"/>
                <w:lang w:val="es-ES"/>
              </w:rPr>
              <w:t xml:space="preserve"> al menos los dos primeros años del ciclo </w:t>
            </w:r>
            <w:r w:rsidRPr="00BE3239">
              <w:rPr>
                <w:rFonts w:ascii="Arial Narrow" w:hAnsi="Arial Narrow" w:cs="Arial Narrow"/>
                <w:sz w:val="20"/>
                <w:szCs w:val="26"/>
                <w:lang w:val="es-ES"/>
              </w:rPr>
              <w:lastRenderedPageBreak/>
              <w:t xml:space="preserve">de </w:t>
            </w:r>
            <w:r w:rsidR="0089108E" w:rsidRPr="00BE3239">
              <w:rPr>
                <w:rFonts w:ascii="Arial Narrow" w:hAnsi="Arial Narrow" w:cs="Arial Narrow"/>
                <w:sz w:val="20"/>
                <w:szCs w:val="26"/>
                <w:lang w:val="es-ES"/>
              </w:rPr>
              <w:t>financiamiento</w:t>
            </w:r>
          </w:p>
          <w:p w14:paraId="4F0138C9" w14:textId="77777777" w:rsidR="00EC284D" w:rsidRPr="00BE3239" w:rsidRDefault="00EC284D" w:rsidP="008E0B33">
            <w:pPr>
              <w:widowControl w:val="0"/>
              <w:tabs>
                <w:tab w:val="left" w:pos="940"/>
                <w:tab w:val="left" w:pos="1440"/>
              </w:tabs>
              <w:autoSpaceDE w:val="0"/>
              <w:autoSpaceDN w:val="0"/>
              <w:adjustRightInd w:val="0"/>
              <w:ind w:left="1440"/>
              <w:rPr>
                <w:rFonts w:ascii="Calibri" w:hAnsi="Calibri" w:cs="Calibri"/>
                <w:sz w:val="22"/>
                <w:szCs w:val="30"/>
                <w:lang w:val="es-ES"/>
              </w:rPr>
            </w:pPr>
          </w:p>
        </w:tc>
        <w:tc>
          <w:tcPr>
            <w:tcW w:w="3828"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7CEC6396" w14:textId="77777777" w:rsidR="00EC284D" w:rsidRPr="00BE3239" w:rsidRDefault="00EC284D" w:rsidP="008E0B33">
            <w:pPr>
              <w:widowControl w:val="0"/>
              <w:autoSpaceDE w:val="0"/>
              <w:autoSpaceDN w:val="0"/>
              <w:adjustRightInd w:val="0"/>
              <w:rPr>
                <w:rFonts w:ascii="Times" w:hAnsi="Times" w:cs="Times"/>
                <w:szCs w:val="32"/>
                <w:lang w:val="es-ES"/>
              </w:rPr>
            </w:pPr>
            <w:r w:rsidRPr="00BE3239">
              <w:rPr>
                <w:rFonts w:ascii="Arial Narrow" w:hAnsi="Arial Narrow" w:cs="Arial Narrow"/>
                <w:sz w:val="20"/>
                <w:szCs w:val="26"/>
                <w:lang w:val="es-ES"/>
              </w:rPr>
              <w:lastRenderedPageBreak/>
              <w:t>Para obtener información más detallada, consulte las Directrices de Preparación del Plan elaboradas por el GPE y la UNESCO / IIPE</w:t>
            </w:r>
          </w:p>
        </w:tc>
        <w:tc>
          <w:tcPr>
            <w:tcW w:w="3523"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13B57944" w14:textId="12CE943D" w:rsidR="00EC284D" w:rsidRPr="00BE3239" w:rsidRDefault="007502B5" w:rsidP="007502B5">
            <w:pPr>
              <w:widowControl w:val="0"/>
              <w:autoSpaceDE w:val="0"/>
              <w:autoSpaceDN w:val="0"/>
              <w:adjustRightInd w:val="0"/>
              <w:rPr>
                <w:rFonts w:ascii="Times" w:hAnsi="Times" w:cs="Times"/>
                <w:szCs w:val="32"/>
                <w:lang w:val="es-ES"/>
              </w:rPr>
            </w:pPr>
            <w:r w:rsidRPr="00BE3239">
              <w:rPr>
                <w:rFonts w:ascii="Arial Narrow" w:hAnsi="Arial Narrow" w:cs="Arial Narrow"/>
                <w:sz w:val="20"/>
                <w:szCs w:val="26"/>
                <w:lang w:val="es-ES"/>
              </w:rPr>
              <w:t>El MINED está preparando un</w:t>
            </w:r>
            <w:r w:rsidR="00DE6FBD" w:rsidRPr="00BE3239">
              <w:rPr>
                <w:rFonts w:ascii="Arial Narrow" w:hAnsi="Arial Narrow" w:cs="Arial Narrow"/>
                <w:sz w:val="20"/>
                <w:szCs w:val="26"/>
                <w:lang w:val="es-ES"/>
              </w:rPr>
              <w:t xml:space="preserve"> plan </w:t>
            </w:r>
            <w:r w:rsidRPr="00BE3239">
              <w:rPr>
                <w:rFonts w:ascii="Arial Narrow" w:hAnsi="Arial Narrow" w:cs="Arial Narrow"/>
                <w:sz w:val="20"/>
                <w:szCs w:val="26"/>
                <w:lang w:val="es-ES"/>
              </w:rPr>
              <w:t>multi</w:t>
            </w:r>
            <w:r w:rsidR="00A66F9B" w:rsidRPr="00BE3239">
              <w:rPr>
                <w:rFonts w:ascii="Arial Narrow" w:hAnsi="Arial Narrow" w:cs="Arial Narrow"/>
                <w:sz w:val="20"/>
                <w:szCs w:val="26"/>
                <w:lang w:val="es-ES"/>
              </w:rPr>
              <w:t xml:space="preserve">anual </w:t>
            </w:r>
            <w:r w:rsidRPr="00BE3239">
              <w:rPr>
                <w:rFonts w:ascii="Arial Narrow" w:hAnsi="Arial Narrow" w:cs="Arial Narrow"/>
                <w:sz w:val="20"/>
                <w:szCs w:val="26"/>
                <w:lang w:val="es-ES"/>
              </w:rPr>
              <w:t xml:space="preserve">que </w:t>
            </w:r>
            <w:r w:rsidR="00A66F9B" w:rsidRPr="00BE3239">
              <w:rPr>
                <w:rFonts w:ascii="Arial Narrow" w:hAnsi="Arial Narrow" w:cs="Arial Narrow"/>
                <w:sz w:val="20"/>
                <w:szCs w:val="26"/>
                <w:lang w:val="es-ES"/>
              </w:rPr>
              <w:t xml:space="preserve">coincide con el plan </w:t>
            </w:r>
            <w:r w:rsidRPr="00BE3239">
              <w:rPr>
                <w:rFonts w:ascii="Arial Narrow" w:hAnsi="Arial Narrow" w:cs="Arial Narrow"/>
                <w:sz w:val="20"/>
                <w:szCs w:val="26"/>
                <w:lang w:val="es-ES"/>
              </w:rPr>
              <w:t>pluri</w:t>
            </w:r>
            <w:r w:rsidR="00A66F9B" w:rsidRPr="00BE3239">
              <w:rPr>
                <w:rFonts w:ascii="Arial Narrow" w:hAnsi="Arial Narrow" w:cs="Arial Narrow"/>
                <w:sz w:val="20"/>
                <w:szCs w:val="26"/>
                <w:lang w:val="es-ES"/>
              </w:rPr>
              <w:t>anual de tres años</w:t>
            </w:r>
            <w:r w:rsidRPr="00BE3239">
              <w:rPr>
                <w:rFonts w:ascii="Arial Narrow" w:hAnsi="Arial Narrow" w:cs="Arial Narrow"/>
                <w:sz w:val="20"/>
                <w:szCs w:val="26"/>
                <w:lang w:val="es-ES"/>
              </w:rPr>
              <w:t>,</w:t>
            </w:r>
            <w:r w:rsidR="00A66F9B" w:rsidRPr="00BE3239">
              <w:rPr>
                <w:rFonts w:ascii="Arial Narrow" w:hAnsi="Arial Narrow" w:cs="Arial Narrow"/>
                <w:sz w:val="20"/>
                <w:szCs w:val="26"/>
                <w:lang w:val="es-ES"/>
              </w:rPr>
              <w:t xml:space="preserve"> en el marco del MPMP nacional. Se anticipa que estará </w:t>
            </w:r>
            <w:r w:rsidR="00A66F9B" w:rsidRPr="00BE3239">
              <w:rPr>
                <w:rFonts w:ascii="Arial Narrow" w:hAnsi="Arial Narrow" w:cs="Arial Narrow"/>
                <w:sz w:val="20"/>
                <w:szCs w:val="26"/>
                <w:lang w:val="es-ES"/>
              </w:rPr>
              <w:lastRenderedPageBreak/>
              <w:t>finalizado en el mes de junio, 2017.</w:t>
            </w:r>
          </w:p>
        </w:tc>
        <w:tc>
          <w:tcPr>
            <w:tcW w:w="3119"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33F9DE46" w14:textId="1A19AA1A" w:rsidR="00EC284D" w:rsidRPr="00BE3239" w:rsidRDefault="00EC284D" w:rsidP="008E0B33">
            <w:pPr>
              <w:widowControl w:val="0"/>
              <w:autoSpaceDE w:val="0"/>
              <w:autoSpaceDN w:val="0"/>
              <w:adjustRightInd w:val="0"/>
              <w:rPr>
                <w:rFonts w:ascii="Calibri" w:hAnsi="Calibri" w:cs="Calibri"/>
                <w:sz w:val="22"/>
                <w:szCs w:val="30"/>
                <w:lang w:val="es-ES"/>
              </w:rPr>
            </w:pPr>
          </w:p>
        </w:tc>
      </w:tr>
      <w:tr w:rsidR="00CD308E" w:rsidRPr="00BE3239" w14:paraId="6E17A83D" w14:textId="77777777" w:rsidTr="008E0B33">
        <w:tblPrEx>
          <w:tblBorders>
            <w:top w:val="none" w:sz="0" w:space="0" w:color="auto"/>
          </w:tblBorders>
        </w:tblPrEx>
        <w:tc>
          <w:tcPr>
            <w:tcW w:w="2822"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545D288E" w14:textId="77777777" w:rsidR="00EC284D" w:rsidRPr="00BE3239" w:rsidRDefault="00EC284D" w:rsidP="008E0B33">
            <w:pPr>
              <w:widowControl w:val="0"/>
              <w:autoSpaceDE w:val="0"/>
              <w:autoSpaceDN w:val="0"/>
              <w:adjustRightInd w:val="0"/>
              <w:rPr>
                <w:rFonts w:ascii="Times" w:hAnsi="Times" w:cs="Times"/>
                <w:szCs w:val="32"/>
                <w:lang w:val="es-ES"/>
              </w:rPr>
            </w:pPr>
            <w:r w:rsidRPr="00BE3239">
              <w:rPr>
                <w:rFonts w:ascii="Arial Narrow" w:hAnsi="Arial Narrow" w:cs="Arial Narrow"/>
                <w:sz w:val="20"/>
                <w:szCs w:val="26"/>
                <w:lang w:val="es-ES"/>
              </w:rPr>
              <w:t xml:space="preserve">1.2 En los estados frágiles </w:t>
            </w:r>
            <w:r w:rsidR="00091B50" w:rsidRPr="00BE3239">
              <w:rPr>
                <w:rFonts w:ascii="Arial Narrow" w:hAnsi="Arial Narrow" w:cs="Arial Narrow"/>
                <w:sz w:val="20"/>
                <w:szCs w:val="26"/>
                <w:lang w:val="es-ES"/>
              </w:rPr>
              <w:t>o afectados por un</w:t>
            </w:r>
            <w:r w:rsidRPr="00BE3239">
              <w:rPr>
                <w:rFonts w:ascii="Arial Narrow" w:hAnsi="Arial Narrow" w:cs="Arial Narrow"/>
                <w:sz w:val="20"/>
                <w:szCs w:val="26"/>
                <w:lang w:val="es-ES"/>
              </w:rPr>
              <w:t xml:space="preserve"> conflicto, un plan sectorial </w:t>
            </w:r>
            <w:r w:rsidR="004714AF" w:rsidRPr="00BE3239">
              <w:rPr>
                <w:rFonts w:ascii="Arial Narrow" w:hAnsi="Arial Narrow" w:cs="Arial Narrow"/>
                <w:sz w:val="20"/>
                <w:szCs w:val="26"/>
                <w:lang w:val="es-ES"/>
              </w:rPr>
              <w:t>de educación de transición (PSET</w:t>
            </w:r>
            <w:r w:rsidRPr="00BE3239">
              <w:rPr>
                <w:rFonts w:ascii="Arial Narrow" w:hAnsi="Arial Narrow" w:cs="Arial Narrow"/>
                <w:sz w:val="20"/>
                <w:szCs w:val="26"/>
                <w:lang w:val="es-ES"/>
              </w:rPr>
              <w:t xml:space="preserve">) con </w:t>
            </w:r>
            <w:r w:rsidR="00091B50" w:rsidRPr="00BE3239">
              <w:rPr>
                <w:rFonts w:ascii="Arial Narrow" w:hAnsi="Arial Narrow" w:cs="Arial Narrow"/>
                <w:sz w:val="20"/>
                <w:szCs w:val="26"/>
                <w:lang w:val="es-ES"/>
              </w:rPr>
              <w:t xml:space="preserve">sus </w:t>
            </w:r>
            <w:r w:rsidRPr="00BE3239">
              <w:rPr>
                <w:rFonts w:ascii="Arial Narrow" w:hAnsi="Arial Narrow" w:cs="Arial Narrow"/>
                <w:sz w:val="20"/>
                <w:szCs w:val="26"/>
                <w:lang w:val="es-ES"/>
              </w:rPr>
              <w:t>costos puede cumplir el requisito</w:t>
            </w:r>
          </w:p>
        </w:tc>
        <w:tc>
          <w:tcPr>
            <w:tcW w:w="3828"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14E9B74A" w14:textId="77777777" w:rsidR="00EC284D" w:rsidRPr="00BE3239" w:rsidRDefault="00EC284D" w:rsidP="008E0B33">
            <w:pPr>
              <w:widowControl w:val="0"/>
              <w:autoSpaceDE w:val="0"/>
              <w:autoSpaceDN w:val="0"/>
              <w:adjustRightInd w:val="0"/>
              <w:rPr>
                <w:rFonts w:ascii="Times" w:hAnsi="Times" w:cs="Times"/>
                <w:szCs w:val="32"/>
                <w:lang w:val="es-ES"/>
              </w:rPr>
            </w:pPr>
            <w:r w:rsidRPr="00BE3239">
              <w:rPr>
                <w:rFonts w:ascii="Arial Narrow" w:hAnsi="Arial Narrow" w:cs="Arial Narrow"/>
                <w:sz w:val="20"/>
                <w:szCs w:val="26"/>
                <w:lang w:val="es-ES"/>
              </w:rPr>
              <w:t>Para obtener información más detallada, consulte las Directrices de Preparación del Plan elaboradas por el GPE y la UNESCO / IIPE</w:t>
            </w:r>
          </w:p>
        </w:tc>
        <w:tc>
          <w:tcPr>
            <w:tcW w:w="3523"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65295458" w14:textId="529C007D" w:rsidR="00EC284D" w:rsidRPr="00BE3239" w:rsidRDefault="00CA5D0F" w:rsidP="008E0B33">
            <w:pPr>
              <w:widowControl w:val="0"/>
              <w:autoSpaceDE w:val="0"/>
              <w:autoSpaceDN w:val="0"/>
              <w:adjustRightInd w:val="0"/>
              <w:rPr>
                <w:rFonts w:ascii="Times" w:hAnsi="Times" w:cs="Times"/>
                <w:szCs w:val="32"/>
                <w:lang w:val="es-ES"/>
              </w:rPr>
            </w:pPr>
            <w:r w:rsidRPr="00BE3239">
              <w:rPr>
                <w:rFonts w:ascii="Arial Narrow" w:hAnsi="Arial Narrow" w:cs="Arial Narrow"/>
                <w:sz w:val="20"/>
                <w:szCs w:val="26"/>
                <w:lang w:val="es-ES"/>
              </w:rPr>
              <w:t>No aplica</w:t>
            </w:r>
          </w:p>
        </w:tc>
        <w:tc>
          <w:tcPr>
            <w:tcW w:w="3119"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7D95923A" w14:textId="77777777" w:rsidR="00EC284D" w:rsidRPr="00BE3239" w:rsidRDefault="00EC284D" w:rsidP="008E0B33">
            <w:pPr>
              <w:widowControl w:val="0"/>
              <w:autoSpaceDE w:val="0"/>
              <w:autoSpaceDN w:val="0"/>
              <w:adjustRightInd w:val="0"/>
              <w:rPr>
                <w:rFonts w:ascii="Times" w:hAnsi="Times" w:cs="Times"/>
                <w:szCs w:val="32"/>
                <w:lang w:val="es-ES"/>
              </w:rPr>
            </w:pPr>
          </w:p>
        </w:tc>
      </w:tr>
      <w:tr w:rsidR="00CD308E" w:rsidRPr="002A5FB6" w14:paraId="7919148C" w14:textId="77777777" w:rsidTr="00C17A30">
        <w:tblPrEx>
          <w:tblBorders>
            <w:top w:val="none" w:sz="0" w:space="0" w:color="auto"/>
          </w:tblBorders>
        </w:tblPrEx>
        <w:tc>
          <w:tcPr>
            <w:tcW w:w="13292" w:type="dxa"/>
            <w:gridSpan w:val="4"/>
            <w:tcBorders>
              <w:top w:val="single" w:sz="10" w:space="0" w:color="000000"/>
              <w:left w:val="single" w:sz="10" w:space="0" w:color="000000"/>
              <w:bottom w:val="single" w:sz="10" w:space="0" w:color="000000"/>
            </w:tcBorders>
            <w:shd w:val="clear" w:color="auto" w:fill="E5EED5"/>
            <w:tcMar>
              <w:top w:w="20" w:type="nil"/>
              <w:left w:w="20" w:type="nil"/>
              <w:bottom w:w="20" w:type="nil"/>
              <w:right w:w="20" w:type="nil"/>
            </w:tcMar>
            <w:vAlign w:val="center"/>
          </w:tcPr>
          <w:p w14:paraId="1C9E1F07" w14:textId="77777777" w:rsidR="00EC284D" w:rsidRPr="00BE3239" w:rsidRDefault="00EC284D" w:rsidP="00D974A2">
            <w:pPr>
              <w:widowControl w:val="0"/>
              <w:autoSpaceDE w:val="0"/>
              <w:autoSpaceDN w:val="0"/>
              <w:adjustRightInd w:val="0"/>
              <w:rPr>
                <w:rFonts w:ascii="Times" w:hAnsi="Times" w:cs="Times"/>
                <w:szCs w:val="32"/>
                <w:lang w:val="es-ES"/>
              </w:rPr>
            </w:pPr>
            <w:r w:rsidRPr="00BE3239">
              <w:rPr>
                <w:rFonts w:ascii="Arial Rounded MT Bold" w:hAnsi="Arial Rounded MT Bold" w:cs="Arial Rounded MT Bold"/>
                <w:sz w:val="22"/>
                <w:szCs w:val="32"/>
                <w:lang w:val="es-ES"/>
              </w:rPr>
              <w:t>Requisito 2: Evidencia de compromiso con el PSE</w:t>
            </w:r>
            <w:r w:rsidR="004714AF" w:rsidRPr="00BE3239">
              <w:rPr>
                <w:rFonts w:ascii="Arial Rounded MT Bold" w:hAnsi="Arial Rounded MT Bold" w:cs="Arial Rounded MT Bold"/>
                <w:sz w:val="22"/>
                <w:szCs w:val="32"/>
                <w:lang w:val="es-ES"/>
              </w:rPr>
              <w:t xml:space="preserve"> / PSET</w:t>
            </w:r>
            <w:r w:rsidRPr="00BE3239">
              <w:rPr>
                <w:rFonts w:ascii="Arial Rounded MT Bold" w:hAnsi="Arial Rounded MT Bold" w:cs="Arial Rounded MT Bold"/>
                <w:sz w:val="22"/>
                <w:szCs w:val="32"/>
                <w:lang w:val="es-ES"/>
              </w:rPr>
              <w:t xml:space="preserve"> y su financiamiento</w:t>
            </w:r>
          </w:p>
        </w:tc>
      </w:tr>
      <w:tr w:rsidR="00CD308E" w:rsidRPr="00BE3239" w14:paraId="7AE68224" w14:textId="77777777" w:rsidTr="00C17A30">
        <w:tblPrEx>
          <w:tblBorders>
            <w:top w:val="none" w:sz="0" w:space="0" w:color="auto"/>
          </w:tblBorders>
        </w:tblPrEx>
        <w:tc>
          <w:tcPr>
            <w:tcW w:w="13292" w:type="dxa"/>
            <w:gridSpan w:val="4"/>
            <w:tcBorders>
              <w:top w:val="single" w:sz="10" w:space="0" w:color="000000"/>
              <w:left w:val="single" w:sz="10" w:space="0" w:color="000000"/>
              <w:bottom w:val="single" w:sz="10" w:space="0" w:color="000000"/>
            </w:tcBorders>
            <w:shd w:val="clear" w:color="auto" w:fill="FFFFFF"/>
            <w:tcMar>
              <w:top w:w="20" w:type="nil"/>
              <w:left w:w="20" w:type="nil"/>
              <w:bottom w:w="20" w:type="nil"/>
              <w:right w:w="20" w:type="nil"/>
            </w:tcMar>
            <w:vAlign w:val="center"/>
          </w:tcPr>
          <w:p w14:paraId="52364A3A" w14:textId="77777777" w:rsidR="00EC284D" w:rsidRPr="00BE3239" w:rsidRDefault="00EC284D" w:rsidP="00D974A2">
            <w:pPr>
              <w:widowControl w:val="0"/>
              <w:autoSpaceDE w:val="0"/>
              <w:autoSpaceDN w:val="0"/>
              <w:adjustRightInd w:val="0"/>
              <w:rPr>
                <w:rFonts w:ascii="Calibri" w:hAnsi="Calibri" w:cs="Calibri"/>
                <w:sz w:val="22"/>
                <w:szCs w:val="30"/>
                <w:lang w:val="es-ES"/>
              </w:rPr>
            </w:pPr>
          </w:p>
          <w:p w14:paraId="07CA6738" w14:textId="77777777" w:rsidR="00EC284D" w:rsidRPr="00BE3239" w:rsidRDefault="00EC284D" w:rsidP="00D974A2">
            <w:pPr>
              <w:pStyle w:val="ListParagraph"/>
              <w:widowControl w:val="0"/>
              <w:numPr>
                <w:ilvl w:val="1"/>
                <w:numId w:val="23"/>
              </w:numPr>
              <w:tabs>
                <w:tab w:val="left" w:pos="940"/>
                <w:tab w:val="left" w:pos="1440"/>
              </w:tabs>
              <w:autoSpaceDE w:val="0"/>
              <w:autoSpaceDN w:val="0"/>
              <w:adjustRightInd w:val="0"/>
              <w:rPr>
                <w:rFonts w:ascii="Calibri" w:hAnsi="Calibri" w:cs="Calibri"/>
                <w:sz w:val="22"/>
                <w:szCs w:val="30"/>
                <w:lang w:val="es-ES"/>
              </w:rPr>
            </w:pPr>
            <w:r w:rsidRPr="00BE3239">
              <w:rPr>
                <w:rFonts w:ascii="Arial Narrow" w:hAnsi="Arial Narrow" w:cs="Arial Narrow"/>
                <w:b/>
                <w:bCs/>
                <w:sz w:val="20"/>
                <w:szCs w:val="26"/>
                <w:lang w:val="es-ES"/>
              </w:rPr>
              <w:t>Compromiso del gobierno</w:t>
            </w:r>
          </w:p>
        </w:tc>
      </w:tr>
      <w:tr w:rsidR="00CD308E" w:rsidRPr="002A5FB6" w14:paraId="0F8BA95C" w14:textId="77777777" w:rsidTr="008E0B33">
        <w:tblPrEx>
          <w:tblBorders>
            <w:top w:val="none" w:sz="0" w:space="0" w:color="auto"/>
          </w:tblBorders>
        </w:tblPrEx>
        <w:tc>
          <w:tcPr>
            <w:tcW w:w="2822"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781BA51F" w14:textId="77777777" w:rsidR="00EC284D" w:rsidRPr="00BE3239" w:rsidRDefault="000A3BC3" w:rsidP="008E0B33">
            <w:pPr>
              <w:pStyle w:val="ListParagraph"/>
              <w:widowControl w:val="0"/>
              <w:numPr>
                <w:ilvl w:val="0"/>
                <w:numId w:val="25"/>
              </w:numPr>
              <w:tabs>
                <w:tab w:val="left" w:pos="220"/>
                <w:tab w:val="left" w:pos="720"/>
              </w:tabs>
              <w:autoSpaceDE w:val="0"/>
              <w:autoSpaceDN w:val="0"/>
              <w:adjustRightInd w:val="0"/>
              <w:rPr>
                <w:rFonts w:ascii="Times" w:hAnsi="Times" w:cs="Times"/>
                <w:szCs w:val="32"/>
                <w:lang w:val="es-ES"/>
              </w:rPr>
            </w:pPr>
            <w:r w:rsidRPr="00BE3239">
              <w:rPr>
                <w:rFonts w:ascii="Arial Narrow" w:hAnsi="Arial Narrow" w:cs="Arial Narrow"/>
                <w:sz w:val="20"/>
                <w:szCs w:val="26"/>
                <w:lang w:val="es-ES"/>
              </w:rPr>
              <w:t>Compromiso de</w:t>
            </w:r>
            <w:r w:rsidR="00EC284D" w:rsidRPr="00BE3239">
              <w:rPr>
                <w:rFonts w:ascii="Arial Narrow" w:hAnsi="Arial Narrow" w:cs="Arial Narrow"/>
                <w:sz w:val="20"/>
                <w:szCs w:val="26"/>
                <w:lang w:val="es-ES"/>
              </w:rPr>
              <w:t xml:space="preserve"> financiar </w:t>
            </w:r>
            <w:r w:rsidR="00091B50" w:rsidRPr="00BE3239">
              <w:rPr>
                <w:rFonts w:ascii="Arial Narrow" w:hAnsi="Arial Narrow" w:cs="Arial Narrow"/>
                <w:sz w:val="20"/>
                <w:szCs w:val="26"/>
                <w:lang w:val="es-ES"/>
              </w:rPr>
              <w:t>el PSE</w:t>
            </w:r>
          </w:p>
        </w:tc>
        <w:tc>
          <w:tcPr>
            <w:tcW w:w="3828"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vAlign w:val="center"/>
          </w:tcPr>
          <w:p w14:paraId="579A94D1" w14:textId="77777777" w:rsidR="00EC284D" w:rsidRPr="00BE3239" w:rsidRDefault="00EC284D" w:rsidP="00C17A30">
            <w:pPr>
              <w:widowControl w:val="0"/>
              <w:autoSpaceDE w:val="0"/>
              <w:autoSpaceDN w:val="0"/>
              <w:adjustRightInd w:val="0"/>
              <w:rPr>
                <w:rFonts w:ascii="Times" w:hAnsi="Times" w:cs="Times"/>
                <w:szCs w:val="32"/>
                <w:lang w:val="es-ES"/>
              </w:rPr>
            </w:pPr>
            <w:r w:rsidRPr="00BE3239">
              <w:rPr>
                <w:rFonts w:ascii="Arial Narrow" w:hAnsi="Arial Narrow" w:cs="Arial Narrow"/>
                <w:sz w:val="20"/>
                <w:szCs w:val="26"/>
                <w:lang w:val="es-ES"/>
              </w:rPr>
              <w:t>La ley presupuestaria debe</w:t>
            </w:r>
            <w:r w:rsidR="00A271F9" w:rsidRPr="00BE3239">
              <w:rPr>
                <w:rFonts w:ascii="Arial Narrow" w:hAnsi="Arial Narrow" w:cs="Arial Narrow"/>
                <w:sz w:val="20"/>
                <w:szCs w:val="26"/>
                <w:lang w:val="es-ES"/>
              </w:rPr>
              <w:t>ría</w:t>
            </w:r>
            <w:r w:rsidRPr="00BE3239">
              <w:rPr>
                <w:rFonts w:ascii="Arial Narrow" w:hAnsi="Arial Narrow" w:cs="Arial Narrow"/>
                <w:sz w:val="20"/>
                <w:szCs w:val="26"/>
                <w:lang w:val="es-ES"/>
              </w:rPr>
              <w:t xml:space="preserve"> incluir disposiciones para financiar la contribución nacional durante el primer año y, </w:t>
            </w:r>
            <w:r w:rsidR="00A271F9" w:rsidRPr="00BE3239">
              <w:rPr>
                <w:rFonts w:ascii="Arial Narrow" w:hAnsi="Arial Narrow" w:cs="Arial Narrow"/>
                <w:sz w:val="20"/>
                <w:szCs w:val="26"/>
                <w:lang w:val="es-ES"/>
              </w:rPr>
              <w:t>de estar disponible</w:t>
            </w:r>
            <w:r w:rsidRPr="00BE3239">
              <w:rPr>
                <w:rFonts w:ascii="Arial Narrow" w:hAnsi="Arial Narrow" w:cs="Arial Narrow"/>
                <w:sz w:val="20"/>
                <w:szCs w:val="26"/>
                <w:lang w:val="es-ES"/>
              </w:rPr>
              <w:t xml:space="preserve">, el </w:t>
            </w:r>
            <w:r w:rsidR="00A271F9" w:rsidRPr="00BE3239">
              <w:rPr>
                <w:rFonts w:ascii="Arial Narrow" w:hAnsi="Arial Narrow" w:cs="Arial Narrow"/>
                <w:sz w:val="20"/>
                <w:szCs w:val="26"/>
                <w:lang w:val="es-ES"/>
              </w:rPr>
              <w:t xml:space="preserve">Marco de Gastos de Medio </w:t>
            </w:r>
            <w:r w:rsidR="00CF284E" w:rsidRPr="00BE3239">
              <w:rPr>
                <w:rFonts w:ascii="Arial Narrow" w:hAnsi="Arial Narrow" w:cs="Arial Narrow"/>
                <w:sz w:val="20"/>
                <w:szCs w:val="26"/>
                <w:lang w:val="es-ES"/>
              </w:rPr>
              <w:t>Término</w:t>
            </w:r>
            <w:r w:rsidR="00A271F9" w:rsidRPr="00BE3239">
              <w:rPr>
                <w:rFonts w:ascii="Arial Narrow" w:hAnsi="Arial Narrow" w:cs="Arial Narrow"/>
                <w:sz w:val="20"/>
                <w:szCs w:val="26"/>
                <w:lang w:val="es-ES"/>
              </w:rPr>
              <w:t xml:space="preserve"> </w:t>
            </w:r>
            <w:r w:rsidRPr="00BE3239">
              <w:rPr>
                <w:rFonts w:ascii="Arial Narrow" w:hAnsi="Arial Narrow" w:cs="Arial Narrow"/>
                <w:sz w:val="20"/>
                <w:szCs w:val="26"/>
                <w:lang w:val="es-ES"/>
              </w:rPr>
              <w:t>debe</w:t>
            </w:r>
            <w:r w:rsidR="00A271F9" w:rsidRPr="00BE3239">
              <w:rPr>
                <w:rFonts w:ascii="Arial Narrow" w:hAnsi="Arial Narrow" w:cs="Arial Narrow"/>
                <w:sz w:val="20"/>
                <w:szCs w:val="26"/>
                <w:lang w:val="es-ES"/>
              </w:rPr>
              <w:t>ría</w:t>
            </w:r>
            <w:r w:rsidRPr="00BE3239">
              <w:rPr>
                <w:rFonts w:ascii="Arial Narrow" w:hAnsi="Arial Narrow" w:cs="Arial Narrow"/>
                <w:sz w:val="20"/>
                <w:szCs w:val="26"/>
                <w:lang w:val="es-ES"/>
              </w:rPr>
              <w:t xml:space="preserve"> prever suficientes recursos para financiar el segundo y tercer año.</w:t>
            </w:r>
            <w:r w:rsidRPr="00BE3239">
              <w:rPr>
                <w:rFonts w:ascii="Times" w:hAnsi="Times" w:cs="Times"/>
                <w:szCs w:val="32"/>
                <w:lang w:val="es-ES"/>
              </w:rPr>
              <w:t xml:space="preserve"> </w:t>
            </w:r>
            <w:r w:rsidRPr="00BE3239">
              <w:rPr>
                <w:rFonts w:ascii="Arial Narrow" w:hAnsi="Arial Narrow" w:cs="Arial Narrow"/>
                <w:sz w:val="20"/>
                <w:szCs w:val="26"/>
                <w:lang w:val="es-ES"/>
              </w:rPr>
              <w:t>En cualquier situación, el marco de financia</w:t>
            </w:r>
            <w:r w:rsidR="009A6FDE" w:rsidRPr="00BE3239">
              <w:rPr>
                <w:rFonts w:ascii="Arial Narrow" w:hAnsi="Arial Narrow" w:cs="Arial Narrow"/>
                <w:sz w:val="20"/>
                <w:szCs w:val="26"/>
                <w:lang w:val="es-ES"/>
              </w:rPr>
              <w:t>miento</w:t>
            </w:r>
            <w:r w:rsidRPr="00BE3239">
              <w:rPr>
                <w:rFonts w:ascii="Arial Narrow" w:hAnsi="Arial Narrow" w:cs="Arial Narrow"/>
                <w:sz w:val="20"/>
                <w:szCs w:val="26"/>
                <w:lang w:val="es-ES"/>
              </w:rPr>
              <w:t xml:space="preserve"> del PS</w:t>
            </w:r>
            <w:r w:rsidR="00A271F9" w:rsidRPr="00BE3239">
              <w:rPr>
                <w:rFonts w:ascii="Arial Narrow" w:hAnsi="Arial Narrow" w:cs="Arial Narrow"/>
                <w:sz w:val="20"/>
                <w:szCs w:val="26"/>
                <w:lang w:val="es-ES"/>
              </w:rPr>
              <w:t>E</w:t>
            </w:r>
            <w:r w:rsidRPr="00BE3239">
              <w:rPr>
                <w:rFonts w:ascii="Arial Narrow" w:hAnsi="Arial Narrow" w:cs="Arial Narrow"/>
                <w:sz w:val="20"/>
                <w:szCs w:val="26"/>
                <w:lang w:val="es-ES"/>
              </w:rPr>
              <w:t xml:space="preserve"> debería </w:t>
            </w:r>
            <w:r w:rsidR="00A271F9" w:rsidRPr="00BE3239">
              <w:rPr>
                <w:rFonts w:ascii="Arial Narrow" w:hAnsi="Arial Narrow" w:cs="Arial Narrow"/>
                <w:sz w:val="20"/>
                <w:szCs w:val="26"/>
                <w:lang w:val="es-ES"/>
              </w:rPr>
              <w:t>dejar claro</w:t>
            </w:r>
            <w:r w:rsidRPr="00BE3239">
              <w:rPr>
                <w:rFonts w:ascii="Arial Narrow" w:hAnsi="Arial Narrow" w:cs="Arial Narrow"/>
                <w:sz w:val="20"/>
                <w:szCs w:val="26"/>
                <w:lang w:val="es-ES"/>
              </w:rPr>
              <w:t xml:space="preserve"> los recursos nacionales dedicados a la educación durante el período previsto.</w:t>
            </w:r>
          </w:p>
        </w:tc>
        <w:tc>
          <w:tcPr>
            <w:tcW w:w="3523"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604BE7D2" w14:textId="163F2FDA" w:rsidR="00EC284D" w:rsidRPr="00BE3239" w:rsidRDefault="00A66F9B" w:rsidP="007502B5">
            <w:pPr>
              <w:widowControl w:val="0"/>
              <w:autoSpaceDE w:val="0"/>
              <w:autoSpaceDN w:val="0"/>
              <w:adjustRightInd w:val="0"/>
              <w:rPr>
                <w:rFonts w:ascii="Times" w:hAnsi="Times" w:cs="Times"/>
                <w:szCs w:val="32"/>
                <w:lang w:val="es-ES"/>
              </w:rPr>
            </w:pPr>
            <w:r w:rsidRPr="00BE3239">
              <w:rPr>
                <w:rFonts w:ascii="Arial Narrow" w:hAnsi="Arial Narrow" w:cs="Arial Narrow"/>
                <w:sz w:val="20"/>
                <w:szCs w:val="26"/>
                <w:lang w:val="es-ES"/>
              </w:rPr>
              <w:t>El escenario financiero</w:t>
            </w:r>
            <w:r w:rsidR="003808ED" w:rsidRPr="00BE3239">
              <w:rPr>
                <w:rFonts w:ascii="Arial Narrow" w:hAnsi="Arial Narrow" w:cs="Arial Narrow"/>
                <w:sz w:val="20"/>
                <w:szCs w:val="26"/>
                <w:lang w:val="es-ES"/>
              </w:rPr>
              <w:t xml:space="preserve"> proy</w:t>
            </w:r>
            <w:r w:rsidR="007502B5" w:rsidRPr="00BE3239">
              <w:rPr>
                <w:rFonts w:ascii="Arial Narrow" w:hAnsi="Arial Narrow" w:cs="Arial Narrow"/>
                <w:sz w:val="20"/>
                <w:szCs w:val="26"/>
                <w:lang w:val="es-ES"/>
              </w:rPr>
              <w:t xml:space="preserve">ectado como probable en el </w:t>
            </w:r>
            <w:proofErr w:type="spellStart"/>
            <w:r w:rsidR="007502B5" w:rsidRPr="00BE3239">
              <w:rPr>
                <w:rFonts w:ascii="Arial Narrow" w:hAnsi="Arial Narrow" w:cs="Arial Narrow"/>
                <w:sz w:val="20"/>
                <w:szCs w:val="26"/>
                <w:lang w:val="es-ES"/>
              </w:rPr>
              <w:t>PdE</w:t>
            </w:r>
            <w:proofErr w:type="spellEnd"/>
            <w:r w:rsidRPr="00BE3239">
              <w:rPr>
                <w:rFonts w:ascii="Arial Narrow" w:hAnsi="Arial Narrow" w:cs="Arial Narrow"/>
                <w:sz w:val="20"/>
                <w:szCs w:val="26"/>
                <w:lang w:val="es-ES"/>
              </w:rPr>
              <w:t xml:space="preserve"> </w:t>
            </w:r>
            <w:r w:rsidR="00707ED9" w:rsidRPr="00BE3239">
              <w:rPr>
                <w:rFonts w:ascii="Arial Narrow" w:hAnsi="Arial Narrow" w:cs="Arial Narrow"/>
                <w:sz w:val="20"/>
                <w:szCs w:val="26"/>
                <w:lang w:val="es-ES"/>
              </w:rPr>
              <w:t>co</w:t>
            </w:r>
            <w:r w:rsidR="00BA5D2E" w:rsidRPr="00BE3239">
              <w:rPr>
                <w:rFonts w:ascii="Arial Narrow" w:hAnsi="Arial Narrow" w:cs="Arial Narrow"/>
                <w:sz w:val="20"/>
                <w:szCs w:val="26"/>
                <w:lang w:val="es-ES"/>
              </w:rPr>
              <w:t>incide con el presupuesto real de 2017 y con las estimaciones del Marco Presupuest</w:t>
            </w:r>
            <w:r w:rsidR="00CA5D0F" w:rsidRPr="00BE3239">
              <w:rPr>
                <w:rFonts w:ascii="Arial Narrow" w:hAnsi="Arial Narrow" w:cs="Arial Narrow"/>
                <w:sz w:val="20"/>
                <w:szCs w:val="26"/>
                <w:lang w:val="es-ES"/>
              </w:rPr>
              <w:t>ario de Mediano Plazo para 2018 y</w:t>
            </w:r>
            <w:r w:rsidR="00BA5D2E" w:rsidRPr="00BE3239">
              <w:rPr>
                <w:rFonts w:ascii="Arial Narrow" w:hAnsi="Arial Narrow" w:cs="Arial Narrow"/>
                <w:sz w:val="20"/>
                <w:szCs w:val="26"/>
                <w:lang w:val="es-ES"/>
              </w:rPr>
              <w:t xml:space="preserve"> 2019.</w:t>
            </w:r>
          </w:p>
        </w:tc>
        <w:tc>
          <w:tcPr>
            <w:tcW w:w="3119"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vAlign w:val="center"/>
          </w:tcPr>
          <w:p w14:paraId="5B095195" w14:textId="17183E92" w:rsidR="00EC284D" w:rsidRPr="00BE3239" w:rsidRDefault="00EC284D" w:rsidP="00C17A30">
            <w:pPr>
              <w:widowControl w:val="0"/>
              <w:autoSpaceDE w:val="0"/>
              <w:autoSpaceDN w:val="0"/>
              <w:adjustRightInd w:val="0"/>
              <w:rPr>
                <w:rFonts w:ascii="Times" w:hAnsi="Times" w:cs="Times"/>
                <w:szCs w:val="32"/>
                <w:lang w:val="es-ES"/>
              </w:rPr>
            </w:pPr>
          </w:p>
        </w:tc>
      </w:tr>
      <w:tr w:rsidR="00CD308E" w:rsidRPr="002A5FB6" w14:paraId="4EF12486" w14:textId="77777777" w:rsidTr="007502B5">
        <w:tblPrEx>
          <w:tblBorders>
            <w:top w:val="none" w:sz="0" w:space="0" w:color="auto"/>
          </w:tblBorders>
        </w:tblPrEx>
        <w:tc>
          <w:tcPr>
            <w:tcW w:w="2822"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7BECD4EF" w14:textId="77777777" w:rsidR="00EC284D" w:rsidRPr="00BE3239" w:rsidRDefault="00EC284D" w:rsidP="007502B5">
            <w:pPr>
              <w:pStyle w:val="ListParagraph"/>
              <w:widowControl w:val="0"/>
              <w:numPr>
                <w:ilvl w:val="0"/>
                <w:numId w:val="25"/>
              </w:numPr>
              <w:tabs>
                <w:tab w:val="left" w:pos="220"/>
                <w:tab w:val="left" w:pos="720"/>
              </w:tabs>
              <w:autoSpaceDE w:val="0"/>
              <w:autoSpaceDN w:val="0"/>
              <w:adjustRightInd w:val="0"/>
              <w:rPr>
                <w:rFonts w:ascii="Times" w:hAnsi="Times" w:cs="Times"/>
                <w:szCs w:val="32"/>
                <w:lang w:val="es-ES"/>
              </w:rPr>
            </w:pPr>
            <w:r w:rsidRPr="00BE3239">
              <w:rPr>
                <w:rFonts w:ascii="Arial Narrow" w:hAnsi="Arial Narrow" w:cs="Arial Narrow"/>
                <w:sz w:val="20"/>
                <w:szCs w:val="26"/>
                <w:lang w:val="es-ES"/>
              </w:rPr>
              <w:t>Compromiso actual del gobierno con la educación: menor / mayor del 20% del presupuesto nacional?</w:t>
            </w:r>
          </w:p>
        </w:tc>
        <w:tc>
          <w:tcPr>
            <w:tcW w:w="3828"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47B1BC9A" w14:textId="0082B7CC" w:rsidR="00EC284D" w:rsidRPr="00BE3239" w:rsidRDefault="00EC284D" w:rsidP="007502B5">
            <w:pPr>
              <w:widowControl w:val="0"/>
              <w:autoSpaceDE w:val="0"/>
              <w:autoSpaceDN w:val="0"/>
              <w:adjustRightInd w:val="0"/>
              <w:rPr>
                <w:rFonts w:ascii="Times" w:hAnsi="Times" w:cs="Times"/>
                <w:szCs w:val="32"/>
                <w:lang w:val="es-ES"/>
              </w:rPr>
            </w:pPr>
            <w:r w:rsidRPr="00BE3239">
              <w:rPr>
                <w:rFonts w:ascii="Arial Narrow" w:hAnsi="Arial Narrow" w:cs="Arial Narrow"/>
                <w:sz w:val="20"/>
                <w:szCs w:val="26"/>
                <w:lang w:val="es-ES"/>
              </w:rPr>
              <w:t>Las perspectivas económicas para alcanzar o mantener el 20% del objetivo presupuestario nacional deben figurar en el PSE y deben ser pertinentes</w:t>
            </w:r>
            <w:r w:rsidR="000A3BC3" w:rsidRPr="00BE3239">
              <w:rPr>
                <w:rFonts w:ascii="Arial Narrow" w:hAnsi="Arial Narrow" w:cs="Arial Narrow"/>
                <w:sz w:val="20"/>
                <w:szCs w:val="26"/>
                <w:lang w:val="es-ES"/>
              </w:rPr>
              <w:t>,</w:t>
            </w:r>
            <w:r w:rsidRPr="00BE3239">
              <w:rPr>
                <w:rFonts w:ascii="Arial Narrow" w:hAnsi="Arial Narrow" w:cs="Arial Narrow"/>
                <w:sz w:val="20"/>
                <w:szCs w:val="26"/>
                <w:lang w:val="es-ES"/>
              </w:rPr>
              <w:t xml:space="preserve"> </w:t>
            </w:r>
            <w:r w:rsidR="004714AF" w:rsidRPr="00BE3239">
              <w:rPr>
                <w:rFonts w:ascii="Arial Narrow" w:hAnsi="Arial Narrow" w:cs="Arial Narrow"/>
                <w:sz w:val="20"/>
                <w:szCs w:val="26"/>
                <w:lang w:val="es-ES"/>
              </w:rPr>
              <w:t xml:space="preserve">relativos a los supuestos </w:t>
            </w:r>
            <w:r w:rsidR="000A3BC3" w:rsidRPr="00BE3239">
              <w:rPr>
                <w:rFonts w:ascii="Arial Narrow" w:hAnsi="Arial Narrow" w:cs="Arial Narrow"/>
                <w:sz w:val="20"/>
                <w:szCs w:val="26"/>
                <w:lang w:val="es-ES"/>
              </w:rPr>
              <w:t xml:space="preserve">y al marco </w:t>
            </w:r>
            <w:r w:rsidRPr="00BE3239">
              <w:rPr>
                <w:rFonts w:ascii="Arial Narrow" w:hAnsi="Arial Narrow" w:cs="Arial Narrow"/>
                <w:sz w:val="20"/>
                <w:szCs w:val="26"/>
                <w:lang w:val="es-ES"/>
              </w:rPr>
              <w:t>macroeconómico</w:t>
            </w:r>
            <w:r w:rsidR="001D3BBC">
              <w:rPr>
                <w:rFonts w:ascii="Arial Narrow" w:hAnsi="Arial Narrow" w:cs="Arial Narrow"/>
                <w:sz w:val="20"/>
                <w:szCs w:val="26"/>
                <w:lang w:val="es-ES"/>
              </w:rPr>
              <w:t>.</w:t>
            </w:r>
          </w:p>
        </w:tc>
        <w:tc>
          <w:tcPr>
            <w:tcW w:w="3523"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111B88FA" w14:textId="7A4ACA4F" w:rsidR="00EC284D" w:rsidRPr="00BE3239" w:rsidRDefault="00C06586" w:rsidP="007502B5">
            <w:pPr>
              <w:widowControl w:val="0"/>
              <w:autoSpaceDE w:val="0"/>
              <w:autoSpaceDN w:val="0"/>
              <w:adjustRightInd w:val="0"/>
              <w:rPr>
                <w:rFonts w:ascii="Arial Narrow" w:hAnsi="Arial Narrow" w:cs="Arial Narrow"/>
                <w:sz w:val="20"/>
                <w:szCs w:val="26"/>
                <w:lang w:val="es-ES"/>
              </w:rPr>
            </w:pPr>
            <w:r w:rsidRPr="00BE3239">
              <w:rPr>
                <w:rFonts w:ascii="Arial Narrow" w:hAnsi="Arial Narrow" w:cs="Arial Narrow"/>
                <w:sz w:val="20"/>
                <w:szCs w:val="26"/>
                <w:lang w:val="es-ES"/>
              </w:rPr>
              <w:t xml:space="preserve">El gasto público en educación representó 16.9% del presupuesto nacional total en 2016. Representa 17.7% en 2017, según el MPMP está proyectado a subir </w:t>
            </w:r>
            <w:r w:rsidR="001D3BBC">
              <w:rPr>
                <w:rFonts w:ascii="Arial Narrow" w:hAnsi="Arial Narrow" w:cs="Arial Narrow"/>
                <w:sz w:val="20"/>
                <w:szCs w:val="26"/>
                <w:lang w:val="es-ES"/>
              </w:rPr>
              <w:t>a 18.4% en 2018</w:t>
            </w:r>
            <w:r w:rsidRPr="00CC4921">
              <w:rPr>
                <w:rFonts w:ascii="Arial Narrow" w:hAnsi="Arial Narrow" w:cs="Arial Narrow"/>
                <w:sz w:val="20"/>
                <w:szCs w:val="26"/>
                <w:lang w:val="es-ES"/>
              </w:rPr>
              <w:t>. Esta tendencia va</w:t>
            </w:r>
            <w:r w:rsidRPr="00BE3239">
              <w:rPr>
                <w:rFonts w:ascii="Arial Narrow" w:hAnsi="Arial Narrow" w:cs="Arial Narrow"/>
                <w:sz w:val="20"/>
                <w:szCs w:val="26"/>
                <w:lang w:val="es-ES"/>
              </w:rPr>
              <w:t xml:space="preserve"> hacia un</w:t>
            </w:r>
            <w:r w:rsidR="003808ED" w:rsidRPr="00BE3239">
              <w:rPr>
                <w:rFonts w:ascii="Arial Narrow" w:hAnsi="Arial Narrow" w:cs="Arial Narrow"/>
                <w:sz w:val="20"/>
                <w:szCs w:val="26"/>
                <w:lang w:val="es-ES"/>
              </w:rPr>
              <w:t xml:space="preserve"> </w:t>
            </w:r>
            <w:r w:rsidR="00EC284D" w:rsidRPr="00BE3239">
              <w:rPr>
                <w:rFonts w:ascii="Arial Narrow" w:hAnsi="Arial Narrow" w:cs="Arial Narrow"/>
                <w:sz w:val="20"/>
                <w:szCs w:val="26"/>
                <w:lang w:val="es-ES"/>
              </w:rPr>
              <w:t>20% del presupuesto nacional</w:t>
            </w:r>
            <w:r w:rsidR="003808ED" w:rsidRPr="00BE3239">
              <w:rPr>
                <w:rFonts w:ascii="Arial Narrow" w:hAnsi="Arial Narrow" w:cs="Arial Narrow"/>
                <w:sz w:val="20"/>
                <w:szCs w:val="26"/>
                <w:lang w:val="es-ES"/>
              </w:rPr>
              <w:t xml:space="preserve"> en un período de crecimiento continuo del presupuesto nacional y de decrecimiento de las donaciones externas. </w:t>
            </w:r>
          </w:p>
          <w:p w14:paraId="089D2974" w14:textId="0AA6C5C1" w:rsidR="007502B5" w:rsidRPr="00BE3239" w:rsidRDefault="007502B5" w:rsidP="007502B5">
            <w:pPr>
              <w:widowControl w:val="0"/>
              <w:autoSpaceDE w:val="0"/>
              <w:autoSpaceDN w:val="0"/>
              <w:adjustRightInd w:val="0"/>
              <w:rPr>
                <w:rFonts w:ascii="Times" w:hAnsi="Times" w:cs="Times"/>
                <w:szCs w:val="32"/>
                <w:lang w:val="es-ES"/>
              </w:rPr>
            </w:pPr>
          </w:p>
        </w:tc>
        <w:tc>
          <w:tcPr>
            <w:tcW w:w="3119"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104C01E3" w14:textId="3AFD27E6" w:rsidR="00EC284D" w:rsidRPr="00BE3239" w:rsidRDefault="00EC284D" w:rsidP="007502B5">
            <w:pPr>
              <w:widowControl w:val="0"/>
              <w:autoSpaceDE w:val="0"/>
              <w:autoSpaceDN w:val="0"/>
              <w:adjustRightInd w:val="0"/>
              <w:rPr>
                <w:rFonts w:ascii="Times" w:hAnsi="Times" w:cs="Times"/>
                <w:szCs w:val="32"/>
                <w:lang w:val="es-ES"/>
              </w:rPr>
            </w:pPr>
          </w:p>
        </w:tc>
      </w:tr>
      <w:tr w:rsidR="00CD308E" w:rsidRPr="002A5FB6" w14:paraId="3DD1B0BC" w14:textId="77777777" w:rsidTr="008E0B33">
        <w:tblPrEx>
          <w:tblBorders>
            <w:top w:val="none" w:sz="0" w:space="0" w:color="auto"/>
          </w:tblBorders>
        </w:tblPrEx>
        <w:tc>
          <w:tcPr>
            <w:tcW w:w="2822"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14131853" w14:textId="77777777" w:rsidR="00EC284D" w:rsidRPr="00BE3239" w:rsidRDefault="00EC284D" w:rsidP="008E0B33">
            <w:pPr>
              <w:pStyle w:val="ListParagraph"/>
              <w:widowControl w:val="0"/>
              <w:numPr>
                <w:ilvl w:val="0"/>
                <w:numId w:val="25"/>
              </w:numPr>
              <w:tabs>
                <w:tab w:val="left" w:pos="220"/>
                <w:tab w:val="left" w:pos="720"/>
              </w:tabs>
              <w:autoSpaceDE w:val="0"/>
              <w:autoSpaceDN w:val="0"/>
              <w:adjustRightInd w:val="0"/>
              <w:rPr>
                <w:rFonts w:ascii="Times" w:hAnsi="Times" w:cs="Times"/>
                <w:szCs w:val="32"/>
                <w:lang w:val="es-ES"/>
              </w:rPr>
            </w:pPr>
            <w:r w:rsidRPr="00BE3239">
              <w:rPr>
                <w:rFonts w:ascii="Arial Narrow" w:hAnsi="Arial Narrow" w:cs="Arial Narrow"/>
                <w:sz w:val="20"/>
                <w:szCs w:val="26"/>
                <w:lang w:val="es-ES"/>
              </w:rPr>
              <w:t xml:space="preserve">Si el país no ha alcanzado la Educación Primaria Universal, se </w:t>
            </w:r>
            <w:r w:rsidR="004714AF" w:rsidRPr="00BE3239">
              <w:rPr>
                <w:rFonts w:ascii="Arial Narrow" w:hAnsi="Arial Narrow" w:cs="Arial Narrow"/>
                <w:sz w:val="20"/>
                <w:szCs w:val="26"/>
                <w:lang w:val="es-ES"/>
              </w:rPr>
              <w:t>solicita</w:t>
            </w:r>
            <w:r w:rsidRPr="00BE3239">
              <w:rPr>
                <w:rFonts w:ascii="Arial Narrow" w:hAnsi="Arial Narrow" w:cs="Arial Narrow"/>
                <w:sz w:val="20"/>
                <w:szCs w:val="26"/>
                <w:lang w:val="es-ES"/>
              </w:rPr>
              <w:t xml:space="preserve"> un compromiso adicional de asignar al menos el 45% del presupuesto de educación a la educación </w:t>
            </w:r>
            <w:r w:rsidRPr="00BE3239">
              <w:rPr>
                <w:rFonts w:ascii="Arial Narrow" w:hAnsi="Arial Narrow" w:cs="Arial Narrow"/>
                <w:sz w:val="20"/>
                <w:szCs w:val="26"/>
                <w:lang w:val="es-ES"/>
              </w:rPr>
              <w:lastRenderedPageBreak/>
              <w:t>primaria.</w:t>
            </w:r>
          </w:p>
        </w:tc>
        <w:tc>
          <w:tcPr>
            <w:tcW w:w="3828"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vAlign w:val="center"/>
          </w:tcPr>
          <w:p w14:paraId="3B98F45B" w14:textId="77777777" w:rsidR="00EC284D" w:rsidRPr="00BE3239" w:rsidRDefault="00EC284D" w:rsidP="00C17A30">
            <w:pPr>
              <w:widowControl w:val="0"/>
              <w:autoSpaceDE w:val="0"/>
              <w:autoSpaceDN w:val="0"/>
              <w:adjustRightInd w:val="0"/>
              <w:rPr>
                <w:rFonts w:ascii="Times" w:hAnsi="Times" w:cs="Times"/>
                <w:szCs w:val="32"/>
                <w:lang w:val="es-ES"/>
              </w:rPr>
            </w:pPr>
          </w:p>
        </w:tc>
        <w:tc>
          <w:tcPr>
            <w:tcW w:w="3523"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vAlign w:val="center"/>
          </w:tcPr>
          <w:p w14:paraId="6ABEC26F" w14:textId="77777777" w:rsidR="002767C2" w:rsidRPr="00BE3239" w:rsidRDefault="001F3124" w:rsidP="00C17A30">
            <w:pPr>
              <w:widowControl w:val="0"/>
              <w:autoSpaceDE w:val="0"/>
              <w:autoSpaceDN w:val="0"/>
              <w:adjustRightInd w:val="0"/>
              <w:rPr>
                <w:rFonts w:ascii="Arial Narrow" w:hAnsi="Arial Narrow" w:cs="Arial Narrow"/>
                <w:sz w:val="20"/>
                <w:szCs w:val="26"/>
                <w:lang w:val="es-ES"/>
              </w:rPr>
            </w:pPr>
            <w:r w:rsidRPr="00BE3239">
              <w:rPr>
                <w:rFonts w:ascii="Arial Narrow" w:hAnsi="Arial Narrow" w:cs="Arial Narrow"/>
                <w:sz w:val="20"/>
                <w:szCs w:val="26"/>
                <w:lang w:val="es-ES"/>
              </w:rPr>
              <w:t xml:space="preserve">73% del pago a personal docente </w:t>
            </w:r>
            <w:r w:rsidR="007D78EA" w:rsidRPr="00BE3239">
              <w:rPr>
                <w:rFonts w:ascii="Arial Narrow" w:hAnsi="Arial Narrow" w:cs="Arial Narrow"/>
                <w:sz w:val="20"/>
                <w:szCs w:val="26"/>
                <w:lang w:val="es-ES"/>
              </w:rPr>
              <w:t>del MINED de 2017 está dedicado al pago del personal docente de preescolar, primaria, y primaria para jóvenes y adultos</w:t>
            </w:r>
            <w:r w:rsidRPr="00BE3239">
              <w:rPr>
                <w:rFonts w:ascii="Arial Narrow" w:hAnsi="Arial Narrow" w:cs="Arial Narrow"/>
                <w:sz w:val="20"/>
                <w:szCs w:val="26"/>
                <w:lang w:val="es-ES"/>
              </w:rPr>
              <w:t>. Esto representa 40% del presupuesto total del MINED.</w:t>
            </w:r>
            <w:r w:rsidR="007D78EA" w:rsidRPr="00BE3239">
              <w:rPr>
                <w:rFonts w:ascii="Arial Narrow" w:hAnsi="Arial Narrow" w:cs="Arial Narrow"/>
                <w:sz w:val="20"/>
                <w:szCs w:val="26"/>
                <w:lang w:val="es-ES"/>
              </w:rPr>
              <w:t xml:space="preserve"> Aproximadamente 75% de los gastos operativos, de inversión y de pago del personal no-docente </w:t>
            </w:r>
            <w:r w:rsidR="002767C2" w:rsidRPr="00BE3239">
              <w:rPr>
                <w:rFonts w:ascii="Arial Narrow" w:hAnsi="Arial Narrow" w:cs="Arial Narrow"/>
                <w:sz w:val="20"/>
                <w:szCs w:val="26"/>
                <w:lang w:val="es-ES"/>
              </w:rPr>
              <w:t xml:space="preserve">en MINED </w:t>
            </w:r>
            <w:r w:rsidR="007D78EA" w:rsidRPr="00BE3239">
              <w:rPr>
                <w:rFonts w:ascii="Arial Narrow" w:hAnsi="Arial Narrow" w:cs="Arial Narrow"/>
                <w:sz w:val="20"/>
                <w:szCs w:val="26"/>
                <w:lang w:val="es-ES"/>
              </w:rPr>
              <w:t xml:space="preserve">constituyen aportes </w:t>
            </w:r>
            <w:r w:rsidRPr="00BE3239">
              <w:rPr>
                <w:rFonts w:ascii="Arial Narrow" w:hAnsi="Arial Narrow" w:cs="Arial Narrow"/>
                <w:sz w:val="20"/>
                <w:szCs w:val="26"/>
                <w:lang w:val="es-ES"/>
              </w:rPr>
              <w:t xml:space="preserve">a preescolar y primaria. </w:t>
            </w:r>
          </w:p>
          <w:p w14:paraId="487D16F0" w14:textId="4DBB2E6E" w:rsidR="00EC284D" w:rsidRPr="00BE3239" w:rsidRDefault="001F3124" w:rsidP="00C17A30">
            <w:pPr>
              <w:widowControl w:val="0"/>
              <w:autoSpaceDE w:val="0"/>
              <w:autoSpaceDN w:val="0"/>
              <w:adjustRightInd w:val="0"/>
              <w:rPr>
                <w:rFonts w:ascii="Arial Narrow" w:hAnsi="Arial Narrow" w:cs="Arial Narrow"/>
                <w:sz w:val="20"/>
                <w:szCs w:val="26"/>
                <w:lang w:val="es-ES"/>
              </w:rPr>
            </w:pPr>
            <w:r w:rsidRPr="00BE3239">
              <w:rPr>
                <w:rFonts w:ascii="Arial Narrow" w:hAnsi="Arial Narrow" w:cs="Arial Narrow"/>
                <w:sz w:val="20"/>
                <w:szCs w:val="26"/>
                <w:lang w:val="es-ES"/>
              </w:rPr>
              <w:lastRenderedPageBreak/>
              <w:t>Es</w:t>
            </w:r>
            <w:r w:rsidR="002767C2" w:rsidRPr="00BE3239">
              <w:rPr>
                <w:rFonts w:ascii="Arial Narrow" w:hAnsi="Arial Narrow" w:cs="Arial Narrow"/>
                <w:sz w:val="20"/>
                <w:szCs w:val="26"/>
                <w:lang w:val="es-ES"/>
              </w:rPr>
              <w:t xml:space="preserve">to significa que más de 78% del presupuesto del MINED y 53% del presupuesto nacional total </w:t>
            </w:r>
            <w:r w:rsidR="00CA5D0F" w:rsidRPr="00BE3239">
              <w:rPr>
                <w:rFonts w:ascii="Arial Narrow" w:hAnsi="Arial Narrow" w:cs="Arial Narrow"/>
                <w:sz w:val="20"/>
                <w:szCs w:val="26"/>
                <w:lang w:val="es-ES"/>
              </w:rPr>
              <w:t>Educación está dedicado a la Educación P</w:t>
            </w:r>
            <w:r w:rsidR="002767C2" w:rsidRPr="00BE3239">
              <w:rPr>
                <w:rFonts w:ascii="Arial Narrow" w:hAnsi="Arial Narrow" w:cs="Arial Narrow"/>
                <w:sz w:val="20"/>
                <w:szCs w:val="26"/>
                <w:lang w:val="es-ES"/>
              </w:rPr>
              <w:t xml:space="preserve">reescolar y </w:t>
            </w:r>
            <w:r w:rsidR="00CA5D0F" w:rsidRPr="00BE3239">
              <w:rPr>
                <w:rFonts w:ascii="Arial Narrow" w:hAnsi="Arial Narrow" w:cs="Arial Narrow"/>
                <w:sz w:val="20"/>
                <w:szCs w:val="26"/>
                <w:lang w:val="es-ES"/>
              </w:rPr>
              <w:t>P</w:t>
            </w:r>
            <w:r w:rsidR="002767C2" w:rsidRPr="00BE3239">
              <w:rPr>
                <w:rFonts w:ascii="Arial Narrow" w:hAnsi="Arial Narrow" w:cs="Arial Narrow"/>
                <w:sz w:val="20"/>
                <w:szCs w:val="26"/>
                <w:lang w:val="es-ES"/>
              </w:rPr>
              <w:t xml:space="preserve">rimaria. </w:t>
            </w:r>
          </w:p>
          <w:p w14:paraId="75E3167B" w14:textId="2D8ACEE2" w:rsidR="002767C2" w:rsidRPr="00BE3239" w:rsidRDefault="002767C2" w:rsidP="00C17A30">
            <w:pPr>
              <w:widowControl w:val="0"/>
              <w:autoSpaceDE w:val="0"/>
              <w:autoSpaceDN w:val="0"/>
              <w:adjustRightInd w:val="0"/>
              <w:rPr>
                <w:rFonts w:ascii="Times" w:hAnsi="Times" w:cs="Times"/>
                <w:szCs w:val="32"/>
                <w:lang w:val="es-ES"/>
              </w:rPr>
            </w:pPr>
            <w:r w:rsidRPr="00BE3239">
              <w:rPr>
                <w:rFonts w:ascii="Arial Narrow" w:hAnsi="Arial Narrow" w:cs="Arial Narrow"/>
                <w:sz w:val="20"/>
                <w:szCs w:val="26"/>
                <w:lang w:val="es-ES"/>
              </w:rPr>
              <w:t>Cabe señalar que</w:t>
            </w:r>
            <w:r w:rsidR="00CA5D0F" w:rsidRPr="00BE3239">
              <w:rPr>
                <w:rFonts w:ascii="Arial Narrow" w:hAnsi="Arial Narrow" w:cs="Arial Narrow"/>
                <w:sz w:val="20"/>
                <w:szCs w:val="26"/>
                <w:lang w:val="es-ES"/>
              </w:rPr>
              <w:t xml:space="preserve"> el país está acercándose a la E</w:t>
            </w:r>
            <w:r w:rsidRPr="00BE3239">
              <w:rPr>
                <w:rFonts w:ascii="Arial Narrow" w:hAnsi="Arial Narrow" w:cs="Arial Narrow"/>
                <w:sz w:val="20"/>
                <w:szCs w:val="26"/>
                <w:lang w:val="es-ES"/>
              </w:rPr>
              <w:t xml:space="preserve">ducación </w:t>
            </w:r>
            <w:r w:rsidR="00CA5D0F" w:rsidRPr="00BE3239">
              <w:rPr>
                <w:rFonts w:ascii="Arial Narrow" w:hAnsi="Arial Narrow" w:cs="Arial Narrow"/>
                <w:sz w:val="20"/>
                <w:szCs w:val="26"/>
                <w:lang w:val="es-ES"/>
              </w:rPr>
              <w:t>P</w:t>
            </w:r>
            <w:r w:rsidRPr="00BE3239">
              <w:rPr>
                <w:rFonts w:ascii="Arial Narrow" w:hAnsi="Arial Narrow" w:cs="Arial Narrow"/>
                <w:sz w:val="20"/>
                <w:szCs w:val="26"/>
                <w:lang w:val="es-ES"/>
              </w:rPr>
              <w:t>rimar</w:t>
            </w:r>
            <w:r w:rsidR="00CA5D0F" w:rsidRPr="00BE3239">
              <w:rPr>
                <w:rFonts w:ascii="Arial Narrow" w:hAnsi="Arial Narrow" w:cs="Arial Narrow"/>
                <w:sz w:val="20"/>
                <w:szCs w:val="26"/>
                <w:lang w:val="es-ES"/>
              </w:rPr>
              <w:t>ia universal. La nueva meta de Educación B</w:t>
            </w:r>
            <w:r w:rsidRPr="00BE3239">
              <w:rPr>
                <w:rFonts w:ascii="Arial Narrow" w:hAnsi="Arial Narrow" w:cs="Arial Narrow"/>
                <w:sz w:val="20"/>
                <w:szCs w:val="26"/>
                <w:lang w:val="es-ES"/>
              </w:rPr>
              <w:t>ásica universal significará un aumento relativo del porcentaje del presupuesto dedicado a los pri</w:t>
            </w:r>
            <w:r w:rsidR="007502B5" w:rsidRPr="00BE3239">
              <w:rPr>
                <w:rFonts w:ascii="Arial Narrow" w:hAnsi="Arial Narrow" w:cs="Arial Narrow"/>
                <w:sz w:val="20"/>
                <w:szCs w:val="26"/>
                <w:lang w:val="es-ES"/>
              </w:rPr>
              <w:t>meros tres años de la Educación S</w:t>
            </w:r>
            <w:r w:rsidRPr="00BE3239">
              <w:rPr>
                <w:rFonts w:ascii="Arial Narrow" w:hAnsi="Arial Narrow" w:cs="Arial Narrow"/>
                <w:sz w:val="20"/>
                <w:szCs w:val="26"/>
                <w:lang w:val="es-ES"/>
              </w:rPr>
              <w:t>ecundaria.</w:t>
            </w:r>
          </w:p>
        </w:tc>
        <w:tc>
          <w:tcPr>
            <w:tcW w:w="3119"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vAlign w:val="center"/>
          </w:tcPr>
          <w:p w14:paraId="23E25B34" w14:textId="1CF6F0B5" w:rsidR="00EC284D" w:rsidRPr="00BE3239" w:rsidRDefault="00EC284D" w:rsidP="00C17A30">
            <w:pPr>
              <w:widowControl w:val="0"/>
              <w:autoSpaceDE w:val="0"/>
              <w:autoSpaceDN w:val="0"/>
              <w:adjustRightInd w:val="0"/>
              <w:rPr>
                <w:rFonts w:ascii="Times" w:hAnsi="Times" w:cs="Times"/>
                <w:szCs w:val="32"/>
                <w:lang w:val="es-ES"/>
              </w:rPr>
            </w:pPr>
          </w:p>
        </w:tc>
      </w:tr>
      <w:tr w:rsidR="00CD308E" w:rsidRPr="002A5FB6" w14:paraId="42E44E24" w14:textId="77777777" w:rsidTr="00C17A30">
        <w:tblPrEx>
          <w:tblBorders>
            <w:top w:val="none" w:sz="0" w:space="0" w:color="auto"/>
          </w:tblBorders>
        </w:tblPrEx>
        <w:tc>
          <w:tcPr>
            <w:tcW w:w="13292" w:type="dxa"/>
            <w:gridSpan w:val="4"/>
            <w:tcBorders>
              <w:top w:val="single" w:sz="10" w:space="0" w:color="000000"/>
              <w:left w:val="single" w:sz="10" w:space="0" w:color="000000"/>
              <w:bottom w:val="single" w:sz="10" w:space="0" w:color="000000"/>
            </w:tcBorders>
            <w:shd w:val="clear" w:color="auto" w:fill="FFFFFF"/>
            <w:tcMar>
              <w:top w:w="20" w:type="nil"/>
              <w:left w:w="20" w:type="nil"/>
              <w:bottom w:w="20" w:type="nil"/>
              <w:right w:w="20" w:type="nil"/>
            </w:tcMar>
            <w:vAlign w:val="bottom"/>
          </w:tcPr>
          <w:p w14:paraId="3075E3C8" w14:textId="77777777" w:rsidR="00EC284D" w:rsidRPr="00BE3239" w:rsidRDefault="00EC284D" w:rsidP="00D974A2">
            <w:pPr>
              <w:widowControl w:val="0"/>
              <w:autoSpaceDE w:val="0"/>
              <w:autoSpaceDN w:val="0"/>
              <w:adjustRightInd w:val="0"/>
              <w:rPr>
                <w:rFonts w:ascii="Calibri" w:hAnsi="Calibri" w:cs="Calibri"/>
                <w:sz w:val="22"/>
                <w:szCs w:val="30"/>
                <w:lang w:val="es-ES"/>
              </w:rPr>
            </w:pPr>
          </w:p>
          <w:p w14:paraId="35B02E13" w14:textId="77777777" w:rsidR="00EC284D" w:rsidRPr="00BE3239" w:rsidRDefault="00EC284D" w:rsidP="00D974A2">
            <w:pPr>
              <w:pStyle w:val="ListParagraph"/>
              <w:widowControl w:val="0"/>
              <w:numPr>
                <w:ilvl w:val="1"/>
                <w:numId w:val="23"/>
              </w:numPr>
              <w:tabs>
                <w:tab w:val="left" w:pos="940"/>
                <w:tab w:val="left" w:pos="1440"/>
              </w:tabs>
              <w:autoSpaceDE w:val="0"/>
              <w:autoSpaceDN w:val="0"/>
              <w:adjustRightInd w:val="0"/>
              <w:rPr>
                <w:rFonts w:ascii="Calibri" w:hAnsi="Calibri" w:cs="Calibri"/>
                <w:sz w:val="22"/>
                <w:szCs w:val="30"/>
                <w:lang w:val="es-ES"/>
              </w:rPr>
            </w:pPr>
            <w:r w:rsidRPr="00BE3239">
              <w:rPr>
                <w:rFonts w:ascii="Arial Narrow" w:hAnsi="Arial Narrow" w:cs="Arial Narrow"/>
                <w:b/>
                <w:bCs/>
                <w:sz w:val="20"/>
                <w:szCs w:val="26"/>
                <w:lang w:val="es-ES"/>
              </w:rPr>
              <w:t>Compromiso de los socios de desarrollo</w:t>
            </w:r>
          </w:p>
        </w:tc>
      </w:tr>
      <w:tr w:rsidR="00CD308E" w:rsidRPr="002A5FB6" w14:paraId="11148CFE" w14:textId="77777777" w:rsidTr="007502B5">
        <w:tblPrEx>
          <w:tblBorders>
            <w:top w:val="none" w:sz="0" w:space="0" w:color="auto"/>
          </w:tblBorders>
        </w:tblPrEx>
        <w:tc>
          <w:tcPr>
            <w:tcW w:w="2822"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4B96A09B" w14:textId="77777777" w:rsidR="00EC284D" w:rsidRPr="00BE3239" w:rsidRDefault="00801F7A" w:rsidP="007502B5">
            <w:pPr>
              <w:pStyle w:val="ListParagraph"/>
              <w:widowControl w:val="0"/>
              <w:numPr>
                <w:ilvl w:val="0"/>
                <w:numId w:val="26"/>
              </w:numPr>
              <w:tabs>
                <w:tab w:val="left" w:pos="220"/>
                <w:tab w:val="left" w:pos="720"/>
              </w:tabs>
              <w:autoSpaceDE w:val="0"/>
              <w:autoSpaceDN w:val="0"/>
              <w:adjustRightInd w:val="0"/>
              <w:rPr>
                <w:rFonts w:ascii="Calibri" w:hAnsi="Calibri" w:cs="Calibri"/>
                <w:sz w:val="22"/>
                <w:szCs w:val="30"/>
                <w:lang w:val="es-ES"/>
              </w:rPr>
            </w:pPr>
            <w:r w:rsidRPr="00BE3239">
              <w:rPr>
                <w:rFonts w:ascii="Arial Narrow" w:hAnsi="Arial Narrow" w:cs="Arial Narrow"/>
                <w:sz w:val="20"/>
                <w:szCs w:val="26"/>
                <w:lang w:val="es-ES"/>
              </w:rPr>
              <w:t xml:space="preserve">La intención de </w:t>
            </w:r>
            <w:r w:rsidR="00EC284D" w:rsidRPr="00BE3239">
              <w:rPr>
                <w:rFonts w:ascii="Arial Narrow" w:hAnsi="Arial Narrow" w:cs="Arial Narrow"/>
                <w:sz w:val="20"/>
                <w:szCs w:val="26"/>
                <w:lang w:val="es-ES"/>
              </w:rPr>
              <w:t xml:space="preserve">apoyo financiero </w:t>
            </w:r>
            <w:r w:rsidRPr="00BE3239">
              <w:rPr>
                <w:rFonts w:ascii="Arial Narrow" w:hAnsi="Arial Narrow" w:cs="Arial Narrow"/>
                <w:sz w:val="20"/>
                <w:szCs w:val="26"/>
                <w:lang w:val="es-ES"/>
              </w:rPr>
              <w:t>de los socios de desarrollo al PSE se ve reflejado en el marco financiero del Plan</w:t>
            </w:r>
          </w:p>
        </w:tc>
        <w:tc>
          <w:tcPr>
            <w:tcW w:w="3828"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6C9C38DE" w14:textId="77777777" w:rsidR="00EC284D" w:rsidRPr="00BE3239" w:rsidRDefault="00EC284D" w:rsidP="007502B5">
            <w:pPr>
              <w:widowControl w:val="0"/>
              <w:autoSpaceDE w:val="0"/>
              <w:autoSpaceDN w:val="0"/>
              <w:adjustRightInd w:val="0"/>
              <w:rPr>
                <w:rFonts w:ascii="Times" w:hAnsi="Times" w:cs="Times"/>
                <w:szCs w:val="32"/>
                <w:lang w:val="es-ES"/>
              </w:rPr>
            </w:pPr>
          </w:p>
        </w:tc>
        <w:tc>
          <w:tcPr>
            <w:tcW w:w="3523"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38BB6F17" w14:textId="77777777" w:rsidR="00093ECB" w:rsidRPr="00BE3239" w:rsidRDefault="00402F33" w:rsidP="00402F33">
            <w:pPr>
              <w:widowControl w:val="0"/>
              <w:autoSpaceDE w:val="0"/>
              <w:autoSpaceDN w:val="0"/>
              <w:adjustRightInd w:val="0"/>
              <w:rPr>
                <w:rFonts w:ascii="Arial Narrow" w:hAnsi="Arial Narrow" w:cs="Arial Narrow"/>
                <w:sz w:val="20"/>
                <w:szCs w:val="26"/>
                <w:lang w:val="es-ES"/>
              </w:rPr>
            </w:pPr>
            <w:r w:rsidRPr="00BE3239">
              <w:rPr>
                <w:rFonts w:ascii="Arial Narrow" w:hAnsi="Arial Narrow" w:cs="Arial Narrow"/>
                <w:sz w:val="20"/>
                <w:szCs w:val="26"/>
                <w:lang w:val="es-ES"/>
              </w:rPr>
              <w:t xml:space="preserve">El gobierno está comprometido a asegurar que todos los otros proyectos y programas con apoyo financiero externo estén alineados al </w:t>
            </w:r>
            <w:proofErr w:type="spellStart"/>
            <w:r w:rsidRPr="00BE3239">
              <w:rPr>
                <w:rFonts w:ascii="Arial Narrow" w:hAnsi="Arial Narrow" w:cs="Arial Narrow"/>
                <w:sz w:val="20"/>
                <w:szCs w:val="26"/>
                <w:lang w:val="es-ES"/>
              </w:rPr>
              <w:t>PdE</w:t>
            </w:r>
            <w:proofErr w:type="spellEnd"/>
            <w:r w:rsidRPr="00BE3239">
              <w:rPr>
                <w:rFonts w:ascii="Arial Narrow" w:hAnsi="Arial Narrow" w:cs="Arial Narrow"/>
                <w:sz w:val="20"/>
                <w:szCs w:val="26"/>
                <w:lang w:val="es-ES"/>
              </w:rPr>
              <w:t xml:space="preserve">. </w:t>
            </w:r>
          </w:p>
          <w:p w14:paraId="1759BEDE" w14:textId="11BABFFF" w:rsidR="00093ECB" w:rsidRPr="00BE3239" w:rsidRDefault="00093ECB" w:rsidP="00402F33">
            <w:pPr>
              <w:widowControl w:val="0"/>
              <w:autoSpaceDE w:val="0"/>
              <w:autoSpaceDN w:val="0"/>
              <w:adjustRightInd w:val="0"/>
              <w:rPr>
                <w:rFonts w:ascii="Arial Narrow" w:hAnsi="Arial Narrow" w:cs="Arial Narrow"/>
                <w:sz w:val="20"/>
                <w:szCs w:val="26"/>
                <w:lang w:val="es-ES"/>
              </w:rPr>
            </w:pPr>
            <w:r w:rsidRPr="00BE3239">
              <w:rPr>
                <w:rFonts w:ascii="Arial Narrow" w:hAnsi="Arial Narrow" w:cs="Arial Narrow"/>
                <w:sz w:val="20"/>
                <w:szCs w:val="26"/>
                <w:lang w:val="es-ES"/>
              </w:rPr>
              <w:t xml:space="preserve">Los socios de desarrollo se comprometen a apoyar las estrategias y prioridades del </w:t>
            </w:r>
            <w:proofErr w:type="spellStart"/>
            <w:r w:rsidRPr="00BE3239">
              <w:rPr>
                <w:rFonts w:ascii="Arial Narrow" w:hAnsi="Arial Narrow" w:cs="Arial Narrow"/>
                <w:sz w:val="20"/>
                <w:szCs w:val="26"/>
                <w:lang w:val="es-ES"/>
              </w:rPr>
              <w:t>PdE</w:t>
            </w:r>
            <w:proofErr w:type="spellEnd"/>
            <w:r w:rsidRPr="00BE3239">
              <w:rPr>
                <w:rFonts w:ascii="Arial Narrow" w:hAnsi="Arial Narrow" w:cs="Arial Narrow"/>
                <w:sz w:val="20"/>
                <w:szCs w:val="26"/>
                <w:lang w:val="es-ES"/>
              </w:rPr>
              <w:t>, alineando sus programas financieros.</w:t>
            </w:r>
          </w:p>
          <w:p w14:paraId="403E7F54" w14:textId="09A1983B" w:rsidR="00EC284D" w:rsidRPr="00BE3239" w:rsidRDefault="00402F33" w:rsidP="00402F33">
            <w:pPr>
              <w:widowControl w:val="0"/>
              <w:autoSpaceDE w:val="0"/>
              <w:autoSpaceDN w:val="0"/>
              <w:adjustRightInd w:val="0"/>
              <w:rPr>
                <w:rFonts w:ascii="Arial Narrow" w:hAnsi="Arial Narrow" w:cs="Arial Narrow"/>
                <w:sz w:val="20"/>
                <w:szCs w:val="26"/>
                <w:lang w:val="es-ES"/>
              </w:rPr>
            </w:pPr>
            <w:r w:rsidRPr="00BE3239">
              <w:rPr>
                <w:rFonts w:ascii="Arial Narrow" w:hAnsi="Arial Narrow" w:cs="Arial Narrow"/>
                <w:sz w:val="20"/>
                <w:szCs w:val="26"/>
                <w:lang w:val="es-ES"/>
              </w:rPr>
              <w:t xml:space="preserve">Por ejemplo, </w:t>
            </w:r>
            <w:r w:rsidR="002767C2" w:rsidRPr="00BE3239">
              <w:rPr>
                <w:rFonts w:ascii="Arial Narrow" w:hAnsi="Arial Narrow" w:cs="Arial Narrow"/>
                <w:sz w:val="20"/>
                <w:szCs w:val="26"/>
                <w:lang w:val="es-ES"/>
              </w:rPr>
              <w:t>el nuevo apoyo del Banco Mundial está dedicado a temas estratégicos identifica</w:t>
            </w:r>
            <w:r w:rsidRPr="00BE3239">
              <w:rPr>
                <w:rFonts w:ascii="Arial Narrow" w:hAnsi="Arial Narrow" w:cs="Arial Narrow"/>
                <w:sz w:val="20"/>
                <w:szCs w:val="26"/>
                <w:lang w:val="es-ES"/>
              </w:rPr>
              <w:t xml:space="preserve">dos como prioritarios en el </w:t>
            </w:r>
            <w:proofErr w:type="spellStart"/>
            <w:r w:rsidRPr="00BE3239">
              <w:rPr>
                <w:rFonts w:ascii="Arial Narrow" w:hAnsi="Arial Narrow" w:cs="Arial Narrow"/>
                <w:sz w:val="20"/>
                <w:szCs w:val="26"/>
                <w:lang w:val="es-ES"/>
              </w:rPr>
              <w:t>PdE</w:t>
            </w:r>
            <w:proofErr w:type="spellEnd"/>
            <w:r w:rsidRPr="00BE3239">
              <w:rPr>
                <w:rFonts w:ascii="Arial Narrow" w:hAnsi="Arial Narrow" w:cs="Arial Narrow"/>
                <w:sz w:val="20"/>
                <w:szCs w:val="26"/>
                <w:lang w:val="es-ES"/>
              </w:rPr>
              <w:t xml:space="preserve"> y </w:t>
            </w:r>
            <w:r w:rsidR="005A31F1" w:rsidRPr="00BE3239">
              <w:rPr>
                <w:rFonts w:ascii="Arial Narrow" w:hAnsi="Arial Narrow" w:cs="Arial Narrow"/>
                <w:sz w:val="20"/>
                <w:szCs w:val="26"/>
                <w:lang w:val="es-ES"/>
              </w:rPr>
              <w:t>con la Unión Europea se está trabajando a partir del</w:t>
            </w:r>
            <w:r w:rsidRPr="00BE3239">
              <w:rPr>
                <w:rFonts w:ascii="Arial Narrow" w:hAnsi="Arial Narrow" w:cs="Arial Narrow"/>
                <w:sz w:val="20"/>
                <w:szCs w:val="26"/>
                <w:lang w:val="es-ES"/>
              </w:rPr>
              <w:t xml:space="preserve"> </w:t>
            </w:r>
            <w:proofErr w:type="spellStart"/>
            <w:r w:rsidRPr="00BE3239">
              <w:rPr>
                <w:rFonts w:ascii="Arial Narrow" w:hAnsi="Arial Narrow" w:cs="Arial Narrow"/>
                <w:sz w:val="20"/>
                <w:szCs w:val="26"/>
                <w:lang w:val="es-ES"/>
              </w:rPr>
              <w:t>PdeE</w:t>
            </w:r>
            <w:proofErr w:type="spellEnd"/>
            <w:r w:rsidRPr="00BE3239">
              <w:rPr>
                <w:rFonts w:ascii="Arial Narrow" w:hAnsi="Arial Narrow" w:cs="Arial Narrow"/>
                <w:sz w:val="20"/>
                <w:szCs w:val="26"/>
                <w:lang w:val="es-ES"/>
              </w:rPr>
              <w:t>.</w:t>
            </w:r>
          </w:p>
        </w:tc>
        <w:tc>
          <w:tcPr>
            <w:tcW w:w="3119"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38A79BE6" w14:textId="446465C4" w:rsidR="00EC284D" w:rsidRPr="00BE3239" w:rsidRDefault="0067173D" w:rsidP="007502B5">
            <w:pPr>
              <w:widowControl w:val="0"/>
              <w:autoSpaceDE w:val="0"/>
              <w:autoSpaceDN w:val="0"/>
              <w:adjustRightInd w:val="0"/>
              <w:rPr>
                <w:rFonts w:ascii="Times" w:hAnsi="Times" w:cs="Times"/>
                <w:szCs w:val="32"/>
                <w:lang w:val="es-ES"/>
              </w:rPr>
            </w:pPr>
            <w:r w:rsidRPr="00BE3239">
              <w:rPr>
                <w:rFonts w:ascii="Arial Narrow" w:hAnsi="Arial Narrow" w:cs="Arial Narrow"/>
                <w:sz w:val="20"/>
                <w:szCs w:val="26"/>
                <w:lang w:val="es-ES"/>
              </w:rPr>
              <w:t xml:space="preserve">Los socios de desarrollo miembros del grupo local de educación revisarán que sus planes de apoyo a la implementación del </w:t>
            </w:r>
            <w:proofErr w:type="spellStart"/>
            <w:r w:rsidRPr="00BE3239">
              <w:rPr>
                <w:rFonts w:ascii="Arial Narrow" w:hAnsi="Arial Narrow" w:cs="Arial Narrow"/>
                <w:sz w:val="20"/>
                <w:szCs w:val="26"/>
                <w:lang w:val="es-ES"/>
              </w:rPr>
              <w:t>PdE</w:t>
            </w:r>
            <w:proofErr w:type="spellEnd"/>
            <w:r w:rsidRPr="00BE3239">
              <w:rPr>
                <w:rFonts w:ascii="Arial Narrow" w:hAnsi="Arial Narrow" w:cs="Arial Narrow"/>
                <w:sz w:val="20"/>
                <w:szCs w:val="26"/>
                <w:lang w:val="es-ES"/>
              </w:rPr>
              <w:t xml:space="preserve"> en 2017-</w:t>
            </w:r>
            <w:r w:rsidR="00093ECB" w:rsidRPr="00BE3239">
              <w:rPr>
                <w:rFonts w:ascii="Arial Narrow" w:hAnsi="Arial Narrow" w:cs="Arial Narrow"/>
                <w:sz w:val="20"/>
                <w:szCs w:val="26"/>
                <w:lang w:val="es-ES"/>
              </w:rPr>
              <w:t>20</w:t>
            </w:r>
            <w:r w:rsidRPr="00BE3239">
              <w:rPr>
                <w:rFonts w:ascii="Arial Narrow" w:hAnsi="Arial Narrow" w:cs="Arial Narrow"/>
                <w:sz w:val="20"/>
                <w:szCs w:val="26"/>
                <w:lang w:val="es-ES"/>
              </w:rPr>
              <w:t>19 están reflejados en el plan multianual.</w:t>
            </w:r>
          </w:p>
        </w:tc>
      </w:tr>
      <w:tr w:rsidR="00CD308E" w:rsidRPr="002A5FB6" w14:paraId="0C8EEB7F" w14:textId="77777777" w:rsidTr="00C17A30">
        <w:tblPrEx>
          <w:tblBorders>
            <w:top w:val="none" w:sz="0" w:space="0" w:color="auto"/>
          </w:tblBorders>
        </w:tblPrEx>
        <w:tc>
          <w:tcPr>
            <w:tcW w:w="13292" w:type="dxa"/>
            <w:gridSpan w:val="4"/>
            <w:tcBorders>
              <w:top w:val="single" w:sz="10" w:space="0" w:color="000000"/>
              <w:left w:val="single" w:sz="10" w:space="0" w:color="000000"/>
              <w:bottom w:val="single" w:sz="10" w:space="0" w:color="000000"/>
            </w:tcBorders>
            <w:shd w:val="clear" w:color="auto" w:fill="E5EED5"/>
            <w:tcMar>
              <w:top w:w="20" w:type="nil"/>
              <w:left w:w="20" w:type="nil"/>
              <w:bottom w:w="20" w:type="nil"/>
              <w:right w:w="20" w:type="nil"/>
            </w:tcMar>
            <w:vAlign w:val="center"/>
          </w:tcPr>
          <w:p w14:paraId="5C7195DB" w14:textId="77777777" w:rsidR="00EC284D" w:rsidRPr="00BE3239" w:rsidRDefault="00EC284D" w:rsidP="00D974A2">
            <w:pPr>
              <w:widowControl w:val="0"/>
              <w:autoSpaceDE w:val="0"/>
              <w:autoSpaceDN w:val="0"/>
              <w:adjustRightInd w:val="0"/>
              <w:rPr>
                <w:rFonts w:ascii="Times" w:hAnsi="Times" w:cs="Times"/>
                <w:szCs w:val="32"/>
                <w:lang w:val="es-ES"/>
              </w:rPr>
            </w:pPr>
            <w:r w:rsidRPr="00BE3239">
              <w:rPr>
                <w:rFonts w:ascii="Arial Rounded MT Bold" w:hAnsi="Arial Rounded MT Bold" w:cs="Arial Rounded MT Bold"/>
                <w:sz w:val="22"/>
                <w:szCs w:val="32"/>
                <w:lang w:val="es-ES"/>
              </w:rPr>
              <w:t>Requisito 3: Disponibilidad de datos (o de una estrategia para obtener datos)</w:t>
            </w:r>
          </w:p>
        </w:tc>
      </w:tr>
      <w:tr w:rsidR="00CD308E" w:rsidRPr="00BE3239" w14:paraId="3D6EEDBE" w14:textId="77777777" w:rsidTr="00C17A30">
        <w:tblPrEx>
          <w:tblBorders>
            <w:top w:val="none" w:sz="0" w:space="0" w:color="auto"/>
          </w:tblBorders>
        </w:tblPrEx>
        <w:tc>
          <w:tcPr>
            <w:tcW w:w="13292" w:type="dxa"/>
            <w:gridSpan w:val="4"/>
            <w:tcBorders>
              <w:top w:val="single" w:sz="10" w:space="0" w:color="000000"/>
              <w:left w:val="single" w:sz="10" w:space="0" w:color="000000"/>
              <w:bottom w:val="single" w:sz="10" w:space="0" w:color="000000"/>
            </w:tcBorders>
            <w:shd w:val="clear" w:color="auto" w:fill="FFFFFF"/>
            <w:tcMar>
              <w:top w:w="20" w:type="nil"/>
              <w:left w:w="20" w:type="nil"/>
              <w:bottom w:w="20" w:type="nil"/>
              <w:right w:w="20" w:type="nil"/>
            </w:tcMar>
            <w:vAlign w:val="bottom"/>
          </w:tcPr>
          <w:p w14:paraId="61ED210E" w14:textId="77777777" w:rsidR="00EC284D" w:rsidRPr="00BE3239" w:rsidRDefault="00EC284D" w:rsidP="00D974A2">
            <w:pPr>
              <w:widowControl w:val="0"/>
              <w:autoSpaceDE w:val="0"/>
              <w:autoSpaceDN w:val="0"/>
              <w:adjustRightInd w:val="0"/>
              <w:rPr>
                <w:rFonts w:ascii="Times" w:hAnsi="Times" w:cs="Times"/>
                <w:szCs w:val="32"/>
                <w:lang w:val="es-ES"/>
              </w:rPr>
            </w:pPr>
          </w:p>
          <w:p w14:paraId="6119FF95" w14:textId="77777777" w:rsidR="00EC284D" w:rsidRPr="00BE3239" w:rsidRDefault="000A3BC3" w:rsidP="00D974A2">
            <w:pPr>
              <w:pStyle w:val="ListParagraph"/>
              <w:widowControl w:val="0"/>
              <w:numPr>
                <w:ilvl w:val="1"/>
                <w:numId w:val="33"/>
              </w:numPr>
              <w:autoSpaceDE w:val="0"/>
              <w:autoSpaceDN w:val="0"/>
              <w:adjustRightInd w:val="0"/>
              <w:rPr>
                <w:rFonts w:ascii="Times" w:hAnsi="Times" w:cs="Times"/>
                <w:szCs w:val="32"/>
                <w:lang w:val="es-ES"/>
              </w:rPr>
            </w:pPr>
            <w:r w:rsidRPr="00BE3239">
              <w:rPr>
                <w:rFonts w:ascii="Arial Narrow" w:hAnsi="Arial Narrow" w:cs="Arial Narrow"/>
                <w:b/>
                <w:bCs/>
                <w:sz w:val="20"/>
                <w:szCs w:val="26"/>
                <w:lang w:val="es-ES"/>
              </w:rPr>
              <w:t>Análisis del Sector E</w:t>
            </w:r>
            <w:r w:rsidR="00EC284D" w:rsidRPr="00BE3239">
              <w:rPr>
                <w:rFonts w:ascii="Arial Narrow" w:hAnsi="Arial Narrow" w:cs="Arial Narrow"/>
                <w:b/>
                <w:bCs/>
                <w:sz w:val="20"/>
                <w:szCs w:val="26"/>
                <w:lang w:val="es-ES"/>
              </w:rPr>
              <w:t>ducativo</w:t>
            </w:r>
            <w:r w:rsidR="008C3338" w:rsidRPr="00BE3239">
              <w:rPr>
                <w:rFonts w:ascii="Arial Narrow" w:hAnsi="Arial Narrow" w:cs="Arial Narrow"/>
                <w:b/>
                <w:bCs/>
                <w:sz w:val="20"/>
                <w:szCs w:val="26"/>
                <w:lang w:val="es-ES"/>
              </w:rPr>
              <w:t xml:space="preserve"> (ASE)</w:t>
            </w:r>
          </w:p>
        </w:tc>
      </w:tr>
      <w:tr w:rsidR="00CD308E" w:rsidRPr="002A5FB6" w14:paraId="385DE6BF" w14:textId="77777777" w:rsidTr="008E0B33">
        <w:tblPrEx>
          <w:tblBorders>
            <w:top w:val="none" w:sz="0" w:space="0" w:color="auto"/>
          </w:tblBorders>
        </w:tblPrEx>
        <w:tc>
          <w:tcPr>
            <w:tcW w:w="2822"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63A35A1A" w14:textId="77777777" w:rsidR="00EC284D" w:rsidRPr="00BE3239" w:rsidRDefault="00EC284D" w:rsidP="008E0B33">
            <w:pPr>
              <w:pStyle w:val="ListParagraph"/>
              <w:widowControl w:val="0"/>
              <w:numPr>
                <w:ilvl w:val="0"/>
                <w:numId w:val="28"/>
              </w:numPr>
              <w:tabs>
                <w:tab w:val="left" w:pos="220"/>
                <w:tab w:val="left" w:pos="720"/>
              </w:tabs>
              <w:autoSpaceDE w:val="0"/>
              <w:autoSpaceDN w:val="0"/>
              <w:adjustRightInd w:val="0"/>
              <w:rPr>
                <w:rFonts w:ascii="Calibri" w:hAnsi="Calibri" w:cs="Calibri"/>
                <w:sz w:val="22"/>
                <w:szCs w:val="30"/>
                <w:u w:color="0000E9"/>
                <w:lang w:val="es-ES"/>
              </w:rPr>
            </w:pPr>
            <w:r w:rsidRPr="00BE3239">
              <w:rPr>
                <w:rFonts w:ascii="Arial Narrow" w:hAnsi="Arial Narrow" w:cs="Arial Narrow"/>
                <w:sz w:val="20"/>
                <w:szCs w:val="26"/>
                <w:lang w:val="es-ES"/>
              </w:rPr>
              <w:t xml:space="preserve">¿El análisis del sector educativo se realizó no más de tres años antes de la presentación de la solicitud </w:t>
            </w:r>
            <w:r w:rsidR="00801F7A" w:rsidRPr="00BE3239">
              <w:rPr>
                <w:rFonts w:ascii="Arial Narrow" w:hAnsi="Arial Narrow" w:cs="Arial Narrow"/>
                <w:sz w:val="20"/>
                <w:szCs w:val="26"/>
                <w:lang w:val="es-ES"/>
              </w:rPr>
              <w:t>del financiamiento</w:t>
            </w:r>
            <w:r w:rsidRPr="00BE3239">
              <w:rPr>
                <w:rFonts w:ascii="Arial Narrow" w:hAnsi="Arial Narrow" w:cs="Arial Narrow"/>
                <w:sz w:val="20"/>
                <w:szCs w:val="26"/>
                <w:lang w:val="es-ES"/>
              </w:rPr>
              <w:t>?</w:t>
            </w:r>
          </w:p>
        </w:tc>
        <w:tc>
          <w:tcPr>
            <w:tcW w:w="3828"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0CC48D9C" w14:textId="77777777" w:rsidR="00EC284D" w:rsidRPr="00BE3239" w:rsidRDefault="00EC284D" w:rsidP="008E0B33">
            <w:pPr>
              <w:widowControl w:val="0"/>
              <w:autoSpaceDE w:val="0"/>
              <w:autoSpaceDN w:val="0"/>
              <w:adjustRightInd w:val="0"/>
              <w:rPr>
                <w:rFonts w:ascii="Times" w:hAnsi="Times" w:cs="Times"/>
                <w:szCs w:val="32"/>
                <w:u w:color="0000E9"/>
                <w:lang w:val="es-ES"/>
              </w:rPr>
            </w:pPr>
          </w:p>
        </w:tc>
        <w:tc>
          <w:tcPr>
            <w:tcW w:w="3523"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6B795E4E" w14:textId="310B82D4" w:rsidR="00EC284D" w:rsidRPr="00BE3239" w:rsidRDefault="005B4012" w:rsidP="005B4012">
            <w:pPr>
              <w:widowControl w:val="0"/>
              <w:autoSpaceDE w:val="0"/>
              <w:autoSpaceDN w:val="0"/>
              <w:adjustRightInd w:val="0"/>
              <w:rPr>
                <w:rFonts w:ascii="Times" w:hAnsi="Times" w:cs="Times"/>
                <w:szCs w:val="32"/>
                <w:u w:color="0000E9"/>
                <w:lang w:val="es-ES"/>
              </w:rPr>
            </w:pPr>
            <w:r w:rsidRPr="00BE3239">
              <w:rPr>
                <w:rFonts w:ascii="Arial Narrow" w:hAnsi="Arial Narrow" w:cs="Arial Narrow"/>
                <w:sz w:val="20"/>
                <w:szCs w:val="26"/>
                <w:u w:color="0000E9"/>
                <w:lang w:val="es-ES"/>
              </w:rPr>
              <w:t>E</w:t>
            </w:r>
            <w:r w:rsidR="00EC284D" w:rsidRPr="00BE3239">
              <w:rPr>
                <w:rFonts w:ascii="Arial Narrow" w:hAnsi="Arial Narrow" w:cs="Arial Narrow"/>
                <w:sz w:val="20"/>
                <w:szCs w:val="26"/>
                <w:u w:color="0000E9"/>
                <w:lang w:val="es-ES"/>
              </w:rPr>
              <w:t xml:space="preserve">l análisis </w:t>
            </w:r>
            <w:r w:rsidR="00297120" w:rsidRPr="00BE3239">
              <w:rPr>
                <w:rFonts w:ascii="Arial Narrow" w:hAnsi="Arial Narrow" w:cs="Arial Narrow"/>
                <w:sz w:val="20"/>
                <w:szCs w:val="26"/>
                <w:u w:color="0000E9"/>
                <w:lang w:val="es-ES"/>
              </w:rPr>
              <w:t xml:space="preserve">técnico </w:t>
            </w:r>
            <w:r w:rsidR="00EC284D" w:rsidRPr="00BE3239">
              <w:rPr>
                <w:rFonts w:ascii="Arial Narrow" w:hAnsi="Arial Narrow" w:cs="Arial Narrow"/>
                <w:sz w:val="20"/>
                <w:szCs w:val="26"/>
                <w:u w:color="0000E9"/>
                <w:lang w:val="es-ES"/>
              </w:rPr>
              <w:t>del sector educativo</w:t>
            </w:r>
            <w:r w:rsidR="0067173D" w:rsidRPr="00BE3239">
              <w:rPr>
                <w:rFonts w:ascii="Arial Narrow" w:hAnsi="Arial Narrow" w:cs="Arial Narrow"/>
                <w:sz w:val="20"/>
                <w:szCs w:val="26"/>
                <w:u w:color="0000E9"/>
                <w:lang w:val="es-ES"/>
              </w:rPr>
              <w:t xml:space="preserve"> </w:t>
            </w:r>
            <w:r w:rsidRPr="00BE3239">
              <w:rPr>
                <w:rFonts w:ascii="Arial Narrow" w:hAnsi="Arial Narrow" w:cs="Arial Narrow"/>
                <w:sz w:val="20"/>
                <w:szCs w:val="26"/>
                <w:u w:color="0000E9"/>
                <w:lang w:val="es-ES"/>
              </w:rPr>
              <w:t xml:space="preserve">se realizó en </w:t>
            </w:r>
            <w:r w:rsidR="0067173D" w:rsidRPr="00BE3239">
              <w:rPr>
                <w:rFonts w:ascii="Arial Narrow" w:hAnsi="Arial Narrow" w:cs="Arial Narrow"/>
                <w:sz w:val="20"/>
                <w:szCs w:val="26"/>
                <w:u w:color="0000E9"/>
                <w:lang w:val="es-ES"/>
              </w:rPr>
              <w:t xml:space="preserve">el año 2015. </w:t>
            </w:r>
          </w:p>
        </w:tc>
        <w:tc>
          <w:tcPr>
            <w:tcW w:w="3119"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2A23BEDD" w14:textId="6847017E" w:rsidR="00EC284D" w:rsidRPr="00BE3239" w:rsidRDefault="005A31F1" w:rsidP="005E567F">
            <w:pPr>
              <w:widowControl w:val="0"/>
              <w:autoSpaceDE w:val="0"/>
              <w:autoSpaceDN w:val="0"/>
              <w:adjustRightInd w:val="0"/>
              <w:rPr>
                <w:rFonts w:ascii="Times" w:hAnsi="Times" w:cs="Times"/>
                <w:szCs w:val="32"/>
                <w:u w:color="0000E9"/>
                <w:lang w:val="es-ES"/>
              </w:rPr>
            </w:pPr>
            <w:r w:rsidRPr="00BE3239">
              <w:rPr>
                <w:rFonts w:ascii="Arial Narrow" w:hAnsi="Arial Narrow" w:cs="Arial Narrow"/>
                <w:sz w:val="20"/>
                <w:szCs w:val="26"/>
                <w:u w:color="0000E9"/>
                <w:lang w:val="es-ES"/>
              </w:rPr>
              <w:t>El Gobierno asegurará que</w:t>
            </w:r>
            <w:r w:rsidR="00297120" w:rsidRPr="00BE3239">
              <w:rPr>
                <w:rFonts w:ascii="Arial Narrow" w:hAnsi="Arial Narrow" w:cs="Arial Narrow"/>
                <w:sz w:val="20"/>
                <w:szCs w:val="26"/>
                <w:u w:color="0000E9"/>
                <w:lang w:val="es-ES"/>
              </w:rPr>
              <w:t xml:space="preserve"> el análisis técnico esté disponible para el experto contratado </w:t>
            </w:r>
            <w:r w:rsidR="005B4012" w:rsidRPr="00BE3239">
              <w:rPr>
                <w:rFonts w:ascii="Arial Narrow" w:hAnsi="Arial Narrow" w:cs="Arial Narrow"/>
                <w:sz w:val="20"/>
                <w:szCs w:val="26"/>
                <w:u w:color="0000E9"/>
                <w:lang w:val="es-ES"/>
              </w:rPr>
              <w:t xml:space="preserve">con los fondos del Proyecto financiado </w:t>
            </w:r>
            <w:r w:rsidR="005E567F" w:rsidRPr="00BE3239">
              <w:rPr>
                <w:rFonts w:ascii="Arial Narrow" w:hAnsi="Arial Narrow" w:cs="Arial Narrow"/>
                <w:sz w:val="20"/>
                <w:szCs w:val="26"/>
                <w:u w:color="0000E9"/>
                <w:lang w:val="es-ES"/>
              </w:rPr>
              <w:t>por AME, s</w:t>
            </w:r>
            <w:r w:rsidR="005B4012" w:rsidRPr="00BE3239">
              <w:rPr>
                <w:rFonts w:ascii="Arial Narrow" w:hAnsi="Arial Narrow" w:cs="Arial Narrow"/>
                <w:sz w:val="20"/>
                <w:szCs w:val="26"/>
                <w:u w:color="0000E9"/>
                <w:lang w:val="es-ES"/>
              </w:rPr>
              <w:t>eleccionado por el</w:t>
            </w:r>
            <w:r w:rsidRPr="00BE3239">
              <w:rPr>
                <w:rFonts w:ascii="Arial Narrow" w:hAnsi="Arial Narrow" w:cs="Arial Narrow"/>
                <w:sz w:val="20"/>
                <w:szCs w:val="26"/>
                <w:u w:color="0000E9"/>
                <w:lang w:val="es-ES"/>
              </w:rPr>
              <w:t xml:space="preserve"> MINED</w:t>
            </w:r>
            <w:r w:rsidR="005B4012" w:rsidRPr="00BE3239">
              <w:rPr>
                <w:rFonts w:ascii="Arial Narrow" w:hAnsi="Arial Narrow" w:cs="Arial Narrow"/>
                <w:sz w:val="20"/>
                <w:szCs w:val="26"/>
                <w:u w:color="0000E9"/>
                <w:lang w:val="es-ES"/>
              </w:rPr>
              <w:t xml:space="preserve"> y e</w:t>
            </w:r>
            <w:r w:rsidR="00297120" w:rsidRPr="00BE3239">
              <w:rPr>
                <w:rFonts w:ascii="Arial Narrow" w:hAnsi="Arial Narrow" w:cs="Arial Narrow"/>
                <w:sz w:val="20"/>
                <w:szCs w:val="26"/>
                <w:u w:color="0000E9"/>
                <w:lang w:val="es-ES"/>
              </w:rPr>
              <w:t xml:space="preserve">l grupo de educación local.  </w:t>
            </w:r>
          </w:p>
        </w:tc>
      </w:tr>
      <w:tr w:rsidR="00CD308E" w:rsidRPr="00BE3239" w14:paraId="10D0A92F" w14:textId="77777777" w:rsidTr="008E0B33">
        <w:tblPrEx>
          <w:tblBorders>
            <w:top w:val="none" w:sz="0" w:space="0" w:color="auto"/>
          </w:tblBorders>
        </w:tblPrEx>
        <w:tc>
          <w:tcPr>
            <w:tcW w:w="2822"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056A0BA7" w14:textId="77777777" w:rsidR="00EC284D" w:rsidRPr="00BE3239" w:rsidRDefault="000A3BC3" w:rsidP="008E0B33">
            <w:pPr>
              <w:pStyle w:val="ListParagraph"/>
              <w:widowControl w:val="0"/>
              <w:numPr>
                <w:ilvl w:val="0"/>
                <w:numId w:val="28"/>
              </w:numPr>
              <w:tabs>
                <w:tab w:val="left" w:pos="220"/>
                <w:tab w:val="left" w:pos="720"/>
              </w:tabs>
              <w:autoSpaceDE w:val="0"/>
              <w:autoSpaceDN w:val="0"/>
              <w:adjustRightInd w:val="0"/>
              <w:rPr>
                <w:rFonts w:ascii="Calibri" w:hAnsi="Calibri" w:cs="Calibri"/>
                <w:sz w:val="22"/>
                <w:szCs w:val="30"/>
                <w:u w:color="0000E9"/>
                <w:lang w:val="es-ES"/>
              </w:rPr>
            </w:pPr>
            <w:r w:rsidRPr="00BE3239">
              <w:rPr>
                <w:rFonts w:ascii="Arial Narrow" w:hAnsi="Arial Narrow" w:cs="Arial Narrow"/>
                <w:sz w:val="20"/>
                <w:szCs w:val="26"/>
                <w:u w:color="0000E9"/>
                <w:lang w:val="es-ES"/>
              </w:rPr>
              <w:t xml:space="preserve">En caso de ser </w:t>
            </w:r>
            <w:r w:rsidR="00CF284E" w:rsidRPr="00BE3239">
              <w:rPr>
                <w:rFonts w:ascii="Arial Narrow" w:hAnsi="Arial Narrow" w:cs="Arial Narrow"/>
                <w:sz w:val="20"/>
                <w:szCs w:val="26"/>
                <w:u w:color="0000E9"/>
                <w:lang w:val="es-ES"/>
              </w:rPr>
              <w:t>un contexto frágil</w:t>
            </w:r>
            <w:r w:rsidR="00EC284D" w:rsidRPr="00BE3239">
              <w:rPr>
                <w:rFonts w:ascii="Arial Narrow" w:hAnsi="Arial Narrow" w:cs="Arial Narrow"/>
                <w:sz w:val="20"/>
                <w:szCs w:val="26"/>
                <w:u w:color="0000E9"/>
                <w:lang w:val="es-ES"/>
              </w:rPr>
              <w:t>,</w:t>
            </w:r>
            <w:r w:rsidRPr="00BE3239">
              <w:rPr>
                <w:rFonts w:ascii="Arial Narrow" w:hAnsi="Arial Narrow" w:cs="Arial Narrow"/>
                <w:sz w:val="20"/>
                <w:szCs w:val="26"/>
                <w:u w:color="0000E9"/>
                <w:lang w:val="es-ES"/>
              </w:rPr>
              <w:t xml:space="preserve"> se cuenta con</w:t>
            </w:r>
            <w:r w:rsidR="00EC284D" w:rsidRPr="00BE3239">
              <w:rPr>
                <w:rFonts w:ascii="Arial Narrow" w:hAnsi="Arial Narrow" w:cs="Arial Narrow"/>
                <w:sz w:val="20"/>
                <w:szCs w:val="26"/>
                <w:u w:color="0000E9"/>
                <w:lang w:val="es-ES"/>
              </w:rPr>
              <w:t xml:space="preserve"> un plan </w:t>
            </w:r>
            <w:r w:rsidRPr="00BE3239">
              <w:rPr>
                <w:rFonts w:ascii="Arial Narrow" w:hAnsi="Arial Narrow" w:cs="Arial Narrow"/>
                <w:sz w:val="20"/>
                <w:szCs w:val="26"/>
                <w:u w:color="0000E9"/>
                <w:lang w:val="es-ES"/>
              </w:rPr>
              <w:t xml:space="preserve">para llevar a cabo un </w:t>
            </w:r>
            <w:r w:rsidR="00801F7A" w:rsidRPr="00BE3239">
              <w:rPr>
                <w:rFonts w:ascii="Arial Narrow" w:hAnsi="Arial Narrow" w:cs="Arial Narrow"/>
                <w:sz w:val="20"/>
                <w:szCs w:val="26"/>
                <w:u w:color="0000E9"/>
                <w:lang w:val="es-ES"/>
              </w:rPr>
              <w:t>ASE</w:t>
            </w:r>
            <w:r w:rsidR="00EC284D" w:rsidRPr="00BE3239">
              <w:rPr>
                <w:rFonts w:ascii="Arial Narrow" w:hAnsi="Arial Narrow" w:cs="Arial Narrow"/>
                <w:sz w:val="20"/>
                <w:szCs w:val="26"/>
                <w:u w:color="0000E9"/>
                <w:lang w:val="es-ES"/>
              </w:rPr>
              <w:t>.</w:t>
            </w:r>
          </w:p>
          <w:p w14:paraId="504DA61C" w14:textId="77777777" w:rsidR="00EC284D" w:rsidRPr="00BE3239" w:rsidRDefault="00EC284D" w:rsidP="008E0B33">
            <w:pPr>
              <w:widowControl w:val="0"/>
              <w:tabs>
                <w:tab w:val="left" w:pos="220"/>
                <w:tab w:val="left" w:pos="720"/>
              </w:tabs>
              <w:autoSpaceDE w:val="0"/>
              <w:autoSpaceDN w:val="0"/>
              <w:adjustRightInd w:val="0"/>
              <w:ind w:left="720"/>
              <w:rPr>
                <w:rFonts w:ascii="Calibri" w:hAnsi="Calibri" w:cs="Calibri"/>
                <w:sz w:val="22"/>
                <w:szCs w:val="30"/>
                <w:u w:color="0000E9"/>
                <w:lang w:val="es-ES"/>
              </w:rPr>
            </w:pPr>
          </w:p>
        </w:tc>
        <w:tc>
          <w:tcPr>
            <w:tcW w:w="3828"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4DEA72F6" w14:textId="77777777" w:rsidR="00EC284D" w:rsidRPr="00BE3239" w:rsidRDefault="00EC284D" w:rsidP="008E0B33">
            <w:pPr>
              <w:widowControl w:val="0"/>
              <w:autoSpaceDE w:val="0"/>
              <w:autoSpaceDN w:val="0"/>
              <w:adjustRightInd w:val="0"/>
              <w:rPr>
                <w:rFonts w:ascii="Times" w:hAnsi="Times" w:cs="Times"/>
                <w:szCs w:val="32"/>
                <w:u w:color="0000E9"/>
                <w:lang w:val="es-ES"/>
              </w:rPr>
            </w:pPr>
          </w:p>
        </w:tc>
        <w:tc>
          <w:tcPr>
            <w:tcW w:w="3523"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36492BB2" w14:textId="03B80F08" w:rsidR="00EC284D" w:rsidRPr="00BE3239" w:rsidRDefault="005A31F1" w:rsidP="008E0B33">
            <w:pPr>
              <w:widowControl w:val="0"/>
              <w:autoSpaceDE w:val="0"/>
              <w:autoSpaceDN w:val="0"/>
              <w:adjustRightInd w:val="0"/>
              <w:rPr>
                <w:rFonts w:ascii="Times" w:hAnsi="Times" w:cs="Times"/>
                <w:szCs w:val="32"/>
                <w:u w:color="0000E9"/>
                <w:lang w:val="es-ES"/>
              </w:rPr>
            </w:pPr>
            <w:r w:rsidRPr="00BE3239">
              <w:rPr>
                <w:rFonts w:ascii="Arial Narrow" w:hAnsi="Arial Narrow" w:cs="Arial Narrow"/>
                <w:sz w:val="20"/>
                <w:szCs w:val="26"/>
                <w:u w:color="0000E9"/>
                <w:lang w:val="es-ES"/>
              </w:rPr>
              <w:t>No aplica</w:t>
            </w:r>
          </w:p>
        </w:tc>
        <w:tc>
          <w:tcPr>
            <w:tcW w:w="3119"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301E2DD2" w14:textId="77777777" w:rsidR="00EC284D" w:rsidRPr="00BE3239" w:rsidRDefault="00EC284D" w:rsidP="008E0B33">
            <w:pPr>
              <w:widowControl w:val="0"/>
              <w:autoSpaceDE w:val="0"/>
              <w:autoSpaceDN w:val="0"/>
              <w:adjustRightInd w:val="0"/>
              <w:rPr>
                <w:rFonts w:ascii="Times" w:hAnsi="Times" w:cs="Times"/>
                <w:szCs w:val="32"/>
                <w:u w:color="0000E9"/>
                <w:lang w:val="es-ES"/>
              </w:rPr>
            </w:pPr>
          </w:p>
        </w:tc>
      </w:tr>
      <w:tr w:rsidR="005E567F" w:rsidRPr="002A5FB6" w14:paraId="0341D311" w14:textId="77777777" w:rsidTr="008E0B33">
        <w:tblPrEx>
          <w:tblBorders>
            <w:top w:val="none" w:sz="0" w:space="0" w:color="auto"/>
          </w:tblBorders>
        </w:tblPrEx>
        <w:tc>
          <w:tcPr>
            <w:tcW w:w="2822"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2FF72606" w14:textId="77777777" w:rsidR="005E567F" w:rsidRPr="00BE3239" w:rsidRDefault="005E567F" w:rsidP="005E567F">
            <w:pPr>
              <w:pStyle w:val="ListParagraph"/>
              <w:widowControl w:val="0"/>
              <w:numPr>
                <w:ilvl w:val="0"/>
                <w:numId w:val="28"/>
              </w:numPr>
              <w:tabs>
                <w:tab w:val="left" w:pos="220"/>
                <w:tab w:val="left" w:pos="720"/>
              </w:tabs>
              <w:autoSpaceDE w:val="0"/>
              <w:autoSpaceDN w:val="0"/>
              <w:adjustRightInd w:val="0"/>
              <w:rPr>
                <w:rFonts w:ascii="Times" w:hAnsi="Times" w:cs="Times"/>
                <w:szCs w:val="32"/>
                <w:u w:color="0000E9"/>
                <w:lang w:val="es-ES"/>
              </w:rPr>
            </w:pPr>
            <w:r w:rsidRPr="00BE3239">
              <w:rPr>
                <w:rFonts w:ascii="Arial Narrow" w:hAnsi="Arial Narrow" w:cs="Arial Narrow"/>
                <w:sz w:val="20"/>
                <w:szCs w:val="26"/>
                <w:u w:color="0000E9"/>
                <w:lang w:val="es-ES"/>
              </w:rPr>
              <w:t>El análisis del sector educativo incluye un análisis de contexto (incluyendo análisis demográficos), análisis de políticas existentes, costos y financiamiento, desempeño del sistema y capacidad del sistema.</w:t>
            </w:r>
          </w:p>
        </w:tc>
        <w:tc>
          <w:tcPr>
            <w:tcW w:w="3828"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377A85A1" w14:textId="77777777" w:rsidR="005E567F" w:rsidRPr="00BE3239" w:rsidRDefault="005E567F" w:rsidP="005E567F">
            <w:pPr>
              <w:widowControl w:val="0"/>
              <w:autoSpaceDE w:val="0"/>
              <w:autoSpaceDN w:val="0"/>
              <w:adjustRightInd w:val="0"/>
              <w:rPr>
                <w:rFonts w:ascii="Times" w:hAnsi="Times" w:cs="Times"/>
                <w:szCs w:val="32"/>
                <w:u w:color="0000E9"/>
                <w:lang w:val="es-ES"/>
              </w:rPr>
            </w:pPr>
            <w:r w:rsidRPr="00BE3239">
              <w:rPr>
                <w:rFonts w:ascii="Arial Narrow" w:hAnsi="Arial Narrow" w:cs="Arial Narrow"/>
                <w:sz w:val="20"/>
                <w:szCs w:val="26"/>
                <w:u w:color="0000E9"/>
                <w:lang w:val="es-ES"/>
              </w:rPr>
              <w:t xml:space="preserve">Para obtener información más detallada, consulte las Directrices de Preparación del Plan elaboradas por </w:t>
            </w:r>
            <w:proofErr w:type="spellStart"/>
            <w:r w:rsidRPr="00BE3239">
              <w:rPr>
                <w:rFonts w:ascii="Arial Narrow" w:hAnsi="Arial Narrow" w:cs="Arial Narrow"/>
                <w:sz w:val="20"/>
                <w:szCs w:val="26"/>
                <w:u w:color="0000E9"/>
                <w:lang w:val="es-ES"/>
              </w:rPr>
              <w:t>el</w:t>
            </w:r>
            <w:proofErr w:type="spellEnd"/>
            <w:r w:rsidRPr="00BE3239">
              <w:rPr>
                <w:rFonts w:ascii="Arial Narrow" w:hAnsi="Arial Narrow" w:cs="Arial Narrow"/>
                <w:sz w:val="20"/>
                <w:szCs w:val="26"/>
                <w:u w:color="0000E9"/>
                <w:lang w:val="es-ES"/>
              </w:rPr>
              <w:t xml:space="preserve"> AME y la UNESCO / IIPE</w:t>
            </w:r>
          </w:p>
        </w:tc>
        <w:tc>
          <w:tcPr>
            <w:tcW w:w="3523" w:type="dxa"/>
            <w:vMerge w:val="restart"/>
            <w:tcBorders>
              <w:top w:val="single" w:sz="10" w:space="0" w:color="000000"/>
              <w:left w:val="single" w:sz="10" w:space="0" w:color="000000"/>
              <w:right w:val="single" w:sz="10" w:space="0" w:color="000000"/>
            </w:tcBorders>
            <w:shd w:val="clear" w:color="auto" w:fill="FFFFFF"/>
            <w:tcMar>
              <w:top w:w="20" w:type="nil"/>
              <w:left w:w="20" w:type="nil"/>
              <w:bottom w:w="20" w:type="nil"/>
              <w:right w:w="20" w:type="nil"/>
            </w:tcMar>
          </w:tcPr>
          <w:p w14:paraId="726535F8" w14:textId="525F9B5C" w:rsidR="005E567F" w:rsidRPr="00BE3239" w:rsidRDefault="005E567F" w:rsidP="005E567F">
            <w:pPr>
              <w:widowControl w:val="0"/>
              <w:autoSpaceDE w:val="0"/>
              <w:autoSpaceDN w:val="0"/>
              <w:adjustRightInd w:val="0"/>
              <w:rPr>
                <w:rFonts w:ascii="Times" w:hAnsi="Times" w:cs="Times"/>
                <w:szCs w:val="32"/>
                <w:u w:color="0000E9"/>
                <w:lang w:val="es-ES"/>
              </w:rPr>
            </w:pPr>
            <w:r w:rsidRPr="00BE3239">
              <w:rPr>
                <w:rFonts w:ascii="Arial Narrow" w:hAnsi="Arial Narrow" w:cs="Arial Narrow"/>
                <w:sz w:val="20"/>
                <w:szCs w:val="26"/>
                <w:u w:color="0000E9"/>
                <w:lang w:val="es-ES"/>
              </w:rPr>
              <w:t>El análisis técnico se realizó siguiendo la Guía preparado por la UNESCO, UNICEF, el BM, y AME, con adaptaciones para el contexto nacional.</w:t>
            </w:r>
          </w:p>
        </w:tc>
        <w:tc>
          <w:tcPr>
            <w:tcW w:w="3119"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56A3E0B2" w14:textId="46287A89" w:rsidR="005E567F" w:rsidRPr="00BE3239" w:rsidRDefault="005E567F" w:rsidP="005E567F">
            <w:pPr>
              <w:widowControl w:val="0"/>
              <w:autoSpaceDE w:val="0"/>
              <w:autoSpaceDN w:val="0"/>
              <w:adjustRightInd w:val="0"/>
              <w:rPr>
                <w:rFonts w:ascii="Arial Narrow" w:hAnsi="Arial Narrow" w:cs="Arial Narrow"/>
                <w:sz w:val="20"/>
                <w:szCs w:val="26"/>
                <w:u w:color="0000E9"/>
                <w:lang w:val="es-ES"/>
              </w:rPr>
            </w:pPr>
            <w:r w:rsidRPr="00BE3239">
              <w:rPr>
                <w:rFonts w:ascii="Arial Narrow" w:hAnsi="Arial Narrow" w:cs="Arial Narrow"/>
                <w:sz w:val="20"/>
                <w:szCs w:val="26"/>
                <w:u w:color="0000E9"/>
                <w:lang w:val="es-ES"/>
              </w:rPr>
              <w:t xml:space="preserve">El análisis técnico no ha sido compartido con el grupo local de educación. </w:t>
            </w:r>
          </w:p>
          <w:p w14:paraId="2FD46C0C" w14:textId="725F8CA7" w:rsidR="005E567F" w:rsidRPr="00BE3239" w:rsidRDefault="005E567F" w:rsidP="005E567F">
            <w:pPr>
              <w:widowControl w:val="0"/>
              <w:autoSpaceDE w:val="0"/>
              <w:autoSpaceDN w:val="0"/>
              <w:adjustRightInd w:val="0"/>
              <w:rPr>
                <w:rFonts w:ascii="Times" w:hAnsi="Times" w:cs="Times"/>
                <w:szCs w:val="32"/>
                <w:u w:color="0000E9"/>
                <w:lang w:val="es-ES"/>
              </w:rPr>
            </w:pPr>
            <w:r w:rsidRPr="00BE3239">
              <w:rPr>
                <w:rFonts w:ascii="Arial Narrow" w:hAnsi="Arial Narrow" w:cs="Arial Narrow"/>
                <w:sz w:val="20"/>
                <w:szCs w:val="26"/>
                <w:u w:color="0000E9"/>
                <w:lang w:val="es-ES"/>
              </w:rPr>
              <w:t xml:space="preserve">El Gobierno asegurará que el análisis técnico esté disponible para el experto contratado con los fondos del Proyecto financiado por AME, seleccionado por el MINED y el grupo de educación local.  </w:t>
            </w:r>
          </w:p>
        </w:tc>
      </w:tr>
      <w:tr w:rsidR="005E567F" w:rsidRPr="002A5FB6" w14:paraId="12E2038E" w14:textId="77777777" w:rsidTr="008E0B33">
        <w:tblPrEx>
          <w:tblBorders>
            <w:top w:val="none" w:sz="0" w:space="0" w:color="auto"/>
          </w:tblBorders>
        </w:tblPrEx>
        <w:tc>
          <w:tcPr>
            <w:tcW w:w="2822"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0F4AEA54" w14:textId="77777777" w:rsidR="005E567F" w:rsidRPr="00BE3239" w:rsidRDefault="005E567F" w:rsidP="005E567F">
            <w:pPr>
              <w:pStyle w:val="ListParagraph"/>
              <w:widowControl w:val="0"/>
              <w:numPr>
                <w:ilvl w:val="0"/>
                <w:numId w:val="28"/>
              </w:numPr>
              <w:tabs>
                <w:tab w:val="left" w:pos="220"/>
                <w:tab w:val="left" w:pos="720"/>
              </w:tabs>
              <w:autoSpaceDE w:val="0"/>
              <w:autoSpaceDN w:val="0"/>
              <w:adjustRightInd w:val="0"/>
              <w:rPr>
                <w:rFonts w:ascii="Times" w:hAnsi="Times" w:cs="Times"/>
                <w:szCs w:val="32"/>
                <w:u w:color="0000E9"/>
                <w:lang w:val="es-ES"/>
              </w:rPr>
            </w:pPr>
            <w:r w:rsidRPr="00BE3239">
              <w:rPr>
                <w:rFonts w:ascii="Arial Narrow" w:hAnsi="Arial Narrow" w:cs="Arial Narrow"/>
                <w:sz w:val="20"/>
                <w:szCs w:val="26"/>
                <w:u w:color="0000E9"/>
                <w:lang w:val="es-ES"/>
              </w:rPr>
              <w:t>El análisis del sector educativo aborda los temas de vulnerabilidad y equidad (grupos marginados, niñas, niños con discapacidades)</w:t>
            </w:r>
          </w:p>
        </w:tc>
        <w:tc>
          <w:tcPr>
            <w:tcW w:w="3828"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480C4001" w14:textId="77777777" w:rsidR="005E567F" w:rsidRPr="00BE3239" w:rsidRDefault="005E567F" w:rsidP="005E567F">
            <w:pPr>
              <w:widowControl w:val="0"/>
              <w:autoSpaceDE w:val="0"/>
              <w:autoSpaceDN w:val="0"/>
              <w:adjustRightInd w:val="0"/>
              <w:rPr>
                <w:rFonts w:ascii="Times" w:hAnsi="Times" w:cs="Times"/>
                <w:szCs w:val="32"/>
                <w:u w:color="0000E9"/>
                <w:lang w:val="es-ES"/>
              </w:rPr>
            </w:pPr>
            <w:r w:rsidRPr="00BE3239">
              <w:rPr>
                <w:rFonts w:ascii="Arial Narrow" w:hAnsi="Arial Narrow" w:cs="Arial Narrow"/>
                <w:sz w:val="20"/>
                <w:szCs w:val="26"/>
                <w:u w:color="0000E9"/>
                <w:lang w:val="es-ES"/>
              </w:rPr>
              <w:t>Para obtener información más detallada, consulte las Directrices de Preparación del Plan elaboradas por el GPE y la UNESCO / IIPE</w:t>
            </w:r>
          </w:p>
        </w:tc>
        <w:tc>
          <w:tcPr>
            <w:tcW w:w="3523" w:type="dxa"/>
            <w:vMerge/>
            <w:tcBorders>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19004CA5" w14:textId="2B8BEFCA" w:rsidR="005E567F" w:rsidRPr="00BE3239" w:rsidRDefault="005E567F" w:rsidP="005E567F">
            <w:pPr>
              <w:widowControl w:val="0"/>
              <w:autoSpaceDE w:val="0"/>
              <w:autoSpaceDN w:val="0"/>
              <w:adjustRightInd w:val="0"/>
              <w:rPr>
                <w:rFonts w:ascii="Times" w:hAnsi="Times" w:cs="Times"/>
                <w:szCs w:val="32"/>
                <w:u w:color="0000E9"/>
                <w:lang w:val="es-ES"/>
              </w:rPr>
            </w:pPr>
          </w:p>
        </w:tc>
        <w:tc>
          <w:tcPr>
            <w:tcW w:w="3119"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3B890718" w14:textId="1805C632" w:rsidR="005E567F" w:rsidRPr="00BE3239" w:rsidRDefault="005E567F" w:rsidP="008D3759">
            <w:pPr>
              <w:widowControl w:val="0"/>
              <w:autoSpaceDE w:val="0"/>
              <w:autoSpaceDN w:val="0"/>
              <w:adjustRightInd w:val="0"/>
              <w:rPr>
                <w:rFonts w:ascii="Times" w:hAnsi="Times" w:cs="Times"/>
                <w:szCs w:val="32"/>
                <w:u w:color="0000E9"/>
                <w:lang w:val="es-ES"/>
              </w:rPr>
            </w:pPr>
            <w:r w:rsidRPr="00BE3239">
              <w:rPr>
                <w:rFonts w:ascii="Arial Narrow" w:hAnsi="Arial Narrow" w:cs="Arial Narrow"/>
                <w:sz w:val="20"/>
                <w:szCs w:val="26"/>
                <w:u w:color="0000E9"/>
                <w:lang w:val="es-ES"/>
              </w:rPr>
              <w:t xml:space="preserve">Al revisar el </w:t>
            </w:r>
            <w:proofErr w:type="spellStart"/>
            <w:r w:rsidRPr="00BE3239">
              <w:rPr>
                <w:rFonts w:ascii="Arial Narrow" w:hAnsi="Arial Narrow" w:cs="Arial Narrow"/>
                <w:sz w:val="20"/>
                <w:szCs w:val="26"/>
                <w:u w:color="0000E9"/>
                <w:lang w:val="es-ES"/>
              </w:rPr>
              <w:t>PdE</w:t>
            </w:r>
            <w:proofErr w:type="spellEnd"/>
            <w:r w:rsidRPr="00BE3239">
              <w:rPr>
                <w:rFonts w:ascii="Arial Narrow" w:hAnsi="Arial Narrow" w:cs="Arial Narrow"/>
                <w:sz w:val="20"/>
                <w:szCs w:val="26"/>
                <w:u w:color="0000E9"/>
                <w:lang w:val="es-ES"/>
              </w:rPr>
              <w:t xml:space="preserve"> y el análisis técni</w:t>
            </w:r>
            <w:r w:rsidR="008D3759" w:rsidRPr="00BE3239">
              <w:rPr>
                <w:rFonts w:ascii="Arial Narrow" w:hAnsi="Arial Narrow" w:cs="Arial Narrow"/>
                <w:sz w:val="20"/>
                <w:szCs w:val="26"/>
                <w:u w:color="0000E9"/>
                <w:lang w:val="es-ES"/>
              </w:rPr>
              <w:t>co se confirmará si existen recomendaciones para fortalecer la implementación desde un enfoque de equidad</w:t>
            </w:r>
            <w:r w:rsidR="00DA7095" w:rsidRPr="00BE3239">
              <w:rPr>
                <w:rFonts w:ascii="Arial Narrow" w:hAnsi="Arial Narrow" w:cs="Arial Narrow"/>
                <w:sz w:val="20"/>
                <w:szCs w:val="26"/>
                <w:u w:color="0000E9"/>
                <w:lang w:val="es-ES"/>
              </w:rPr>
              <w:t>.</w:t>
            </w:r>
          </w:p>
        </w:tc>
      </w:tr>
      <w:tr w:rsidR="005E567F" w:rsidRPr="00BE3239" w14:paraId="7B64F79C" w14:textId="77777777" w:rsidTr="00C17A30">
        <w:tblPrEx>
          <w:tblBorders>
            <w:top w:val="none" w:sz="0" w:space="0" w:color="auto"/>
          </w:tblBorders>
        </w:tblPrEx>
        <w:tc>
          <w:tcPr>
            <w:tcW w:w="13292" w:type="dxa"/>
            <w:gridSpan w:val="4"/>
            <w:tcBorders>
              <w:top w:val="single" w:sz="10" w:space="0" w:color="000000"/>
              <w:left w:val="single" w:sz="10" w:space="0" w:color="000000"/>
              <w:bottom w:val="single" w:sz="10" w:space="0" w:color="000000"/>
            </w:tcBorders>
            <w:shd w:val="clear" w:color="auto" w:fill="FFFFFF"/>
            <w:tcMar>
              <w:top w:w="20" w:type="nil"/>
              <w:left w:w="20" w:type="nil"/>
              <w:bottom w:w="20" w:type="nil"/>
              <w:right w:w="20" w:type="nil"/>
            </w:tcMar>
            <w:vAlign w:val="bottom"/>
          </w:tcPr>
          <w:p w14:paraId="03AF1E47" w14:textId="77777777" w:rsidR="005E567F" w:rsidRPr="00BE3239" w:rsidRDefault="005E567F" w:rsidP="005E567F">
            <w:pPr>
              <w:widowControl w:val="0"/>
              <w:autoSpaceDE w:val="0"/>
              <w:autoSpaceDN w:val="0"/>
              <w:adjustRightInd w:val="0"/>
              <w:rPr>
                <w:rFonts w:ascii="Times" w:hAnsi="Times" w:cs="Times"/>
                <w:szCs w:val="32"/>
                <w:u w:color="0000E9"/>
                <w:lang w:val="es-ES"/>
              </w:rPr>
            </w:pPr>
          </w:p>
          <w:p w14:paraId="70294C67" w14:textId="77777777" w:rsidR="005E567F" w:rsidRPr="00BE3239" w:rsidRDefault="005E567F" w:rsidP="005E567F">
            <w:pPr>
              <w:pStyle w:val="ListParagraph"/>
              <w:widowControl w:val="0"/>
              <w:numPr>
                <w:ilvl w:val="1"/>
                <w:numId w:val="33"/>
              </w:numPr>
              <w:autoSpaceDE w:val="0"/>
              <w:autoSpaceDN w:val="0"/>
              <w:adjustRightInd w:val="0"/>
              <w:rPr>
                <w:rFonts w:ascii="Times" w:hAnsi="Times" w:cs="Times"/>
                <w:szCs w:val="32"/>
                <w:u w:color="0000E9"/>
                <w:lang w:val="es-ES"/>
              </w:rPr>
            </w:pPr>
            <w:r w:rsidRPr="00BE3239">
              <w:rPr>
                <w:rFonts w:ascii="Arial Narrow" w:hAnsi="Arial Narrow" w:cs="Arial Narrow"/>
                <w:b/>
                <w:bCs/>
                <w:sz w:val="20"/>
                <w:szCs w:val="26"/>
                <w:u w:color="0000E9"/>
                <w:lang w:val="es-ES"/>
              </w:rPr>
              <w:t>Datos financieros y educativos básicos para supervisar el sector</w:t>
            </w:r>
          </w:p>
        </w:tc>
      </w:tr>
      <w:tr w:rsidR="005E567F" w:rsidRPr="002A5FB6" w14:paraId="7043A976" w14:textId="77777777" w:rsidTr="008E0B33">
        <w:tblPrEx>
          <w:tblBorders>
            <w:top w:val="none" w:sz="0" w:space="0" w:color="auto"/>
          </w:tblBorders>
        </w:tblPrEx>
        <w:tc>
          <w:tcPr>
            <w:tcW w:w="2822"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6B7C26F6" w14:textId="77777777" w:rsidR="005E567F" w:rsidRPr="00BE3239" w:rsidRDefault="005E567F" w:rsidP="005E567F">
            <w:pPr>
              <w:pStyle w:val="ListParagraph"/>
              <w:widowControl w:val="0"/>
              <w:numPr>
                <w:ilvl w:val="0"/>
                <w:numId w:val="29"/>
              </w:numPr>
              <w:tabs>
                <w:tab w:val="left" w:pos="220"/>
                <w:tab w:val="left" w:pos="720"/>
              </w:tabs>
              <w:autoSpaceDE w:val="0"/>
              <w:autoSpaceDN w:val="0"/>
              <w:adjustRightInd w:val="0"/>
              <w:rPr>
                <w:rFonts w:ascii="Calibri" w:hAnsi="Calibri" w:cs="Calibri"/>
                <w:sz w:val="22"/>
                <w:szCs w:val="30"/>
                <w:u w:color="0000E9"/>
                <w:lang w:val="es-ES"/>
              </w:rPr>
            </w:pPr>
            <w:r w:rsidRPr="00BE3239">
              <w:rPr>
                <w:rFonts w:ascii="Arial Narrow" w:hAnsi="Arial Narrow" w:cs="Arial Narrow"/>
                <w:sz w:val="20"/>
                <w:szCs w:val="26"/>
                <w:u w:color="0000E9"/>
                <w:lang w:val="es-ES"/>
              </w:rPr>
              <w:t>Disponibilidad de datos básicos financieros y de educación desglosados por género y condición socioeconómica</w:t>
            </w:r>
          </w:p>
          <w:p w14:paraId="14EF9EFC" w14:textId="77777777" w:rsidR="005E567F" w:rsidRPr="00BE3239" w:rsidRDefault="005E567F" w:rsidP="005E567F">
            <w:pPr>
              <w:pStyle w:val="ListParagraph"/>
              <w:widowControl w:val="0"/>
              <w:tabs>
                <w:tab w:val="left" w:pos="220"/>
                <w:tab w:val="left" w:pos="720"/>
              </w:tabs>
              <w:autoSpaceDE w:val="0"/>
              <w:autoSpaceDN w:val="0"/>
              <w:adjustRightInd w:val="0"/>
              <w:rPr>
                <w:rFonts w:ascii="Arial Narrow" w:hAnsi="Arial Narrow" w:cs="Arial Narrow"/>
                <w:sz w:val="20"/>
                <w:szCs w:val="26"/>
                <w:u w:color="0000E9"/>
                <w:lang w:val="es-ES"/>
              </w:rPr>
            </w:pPr>
            <w:r w:rsidRPr="00BE3239">
              <w:rPr>
                <w:rFonts w:ascii="Arial Narrow" w:hAnsi="Arial Narrow" w:cs="Arial Narrow"/>
                <w:sz w:val="20"/>
                <w:szCs w:val="26"/>
                <w:u w:color="0000E9"/>
                <w:lang w:val="es-ES"/>
              </w:rPr>
              <w:t>- Sistema de Información para la Gestión Educativa (SIGE)</w:t>
            </w:r>
          </w:p>
          <w:p w14:paraId="47B2E783" w14:textId="77777777" w:rsidR="005E567F" w:rsidRPr="00BE3239" w:rsidRDefault="005E567F" w:rsidP="005E567F">
            <w:pPr>
              <w:pStyle w:val="ListParagraph"/>
              <w:widowControl w:val="0"/>
              <w:tabs>
                <w:tab w:val="left" w:pos="220"/>
                <w:tab w:val="left" w:pos="720"/>
              </w:tabs>
              <w:autoSpaceDE w:val="0"/>
              <w:autoSpaceDN w:val="0"/>
              <w:adjustRightInd w:val="0"/>
              <w:rPr>
                <w:rFonts w:ascii="Calibri" w:hAnsi="Calibri" w:cs="Calibri"/>
                <w:sz w:val="22"/>
                <w:szCs w:val="30"/>
                <w:u w:color="0000E9"/>
                <w:lang w:val="es-ES"/>
              </w:rPr>
            </w:pPr>
            <w:r w:rsidRPr="00BE3239">
              <w:rPr>
                <w:rFonts w:ascii="Arial Narrow" w:hAnsi="Arial Narrow" w:cs="Arial Narrow"/>
                <w:sz w:val="20"/>
                <w:szCs w:val="26"/>
                <w:u w:color="0000E9"/>
                <w:lang w:val="es-ES"/>
              </w:rPr>
              <w:t>-Encuestas de hogares</w:t>
            </w:r>
          </w:p>
        </w:tc>
        <w:tc>
          <w:tcPr>
            <w:tcW w:w="3828"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35686EBF" w14:textId="77777777" w:rsidR="005E567F" w:rsidRPr="00BE3239" w:rsidRDefault="005E567F" w:rsidP="005E567F">
            <w:pPr>
              <w:widowControl w:val="0"/>
              <w:numPr>
                <w:ilvl w:val="0"/>
                <w:numId w:val="15"/>
              </w:numPr>
              <w:tabs>
                <w:tab w:val="left" w:pos="318"/>
              </w:tabs>
              <w:autoSpaceDE w:val="0"/>
              <w:autoSpaceDN w:val="0"/>
              <w:adjustRightInd w:val="0"/>
              <w:ind w:left="318" w:hanging="284"/>
              <w:rPr>
                <w:rFonts w:ascii="Calibri" w:hAnsi="Calibri" w:cs="Calibri"/>
                <w:sz w:val="22"/>
                <w:szCs w:val="30"/>
                <w:u w:color="0000E9"/>
                <w:lang w:val="es-ES"/>
              </w:rPr>
            </w:pPr>
            <w:r w:rsidRPr="00BE3239">
              <w:rPr>
                <w:rFonts w:ascii="Arial Narrow" w:hAnsi="Arial Narrow" w:cs="Arial Narrow"/>
                <w:sz w:val="20"/>
                <w:szCs w:val="26"/>
                <w:u w:color="0000E9"/>
                <w:lang w:val="es-ES"/>
              </w:rPr>
              <w:t>Sistema de Información para la Gestión Educativa: fechas de recopilación de datos escolares, fechas de publicación de datos estadísticos, fuente de financiamiento, niveles de educación cubiertos, tasa de respuesta, estimación de valores faltantes (por ejemplo, para escuelas comunitarias), cuestiones relacionadas con el SIGE, evaluación del SIGE y principales recomendaciones o perspectivas para mejorar el SIGE.</w:t>
            </w:r>
          </w:p>
          <w:p w14:paraId="026D6D48" w14:textId="77777777" w:rsidR="005E567F" w:rsidRPr="00BE3239" w:rsidRDefault="005E567F" w:rsidP="005E567F">
            <w:pPr>
              <w:widowControl w:val="0"/>
              <w:numPr>
                <w:ilvl w:val="0"/>
                <w:numId w:val="15"/>
              </w:numPr>
              <w:tabs>
                <w:tab w:val="left" w:pos="318"/>
              </w:tabs>
              <w:autoSpaceDE w:val="0"/>
              <w:autoSpaceDN w:val="0"/>
              <w:adjustRightInd w:val="0"/>
              <w:ind w:left="318" w:hanging="284"/>
              <w:rPr>
                <w:rFonts w:ascii="Calibri" w:hAnsi="Calibri" w:cs="Calibri"/>
                <w:sz w:val="22"/>
                <w:szCs w:val="30"/>
                <w:u w:color="0000E9"/>
                <w:lang w:val="es-ES"/>
              </w:rPr>
            </w:pPr>
            <w:r w:rsidRPr="00BE3239">
              <w:rPr>
                <w:rFonts w:ascii="Arial Narrow" w:hAnsi="Arial Narrow" w:cs="Arial Narrow"/>
                <w:sz w:val="20"/>
                <w:szCs w:val="26"/>
                <w:u w:color="0000E9"/>
                <w:lang w:val="es-ES"/>
              </w:rPr>
              <w:t>Encuestas de hogares: años de las últimas encuestas de hogares como DHS, MICS, CWIQ, LFS, etc. Si los datos fueron analizados para destacar cuestiones de equidad relacionadas con género, urbano / rural, regiones, quintil de ingresos, discapacidad etc.</w:t>
            </w:r>
          </w:p>
        </w:tc>
        <w:tc>
          <w:tcPr>
            <w:tcW w:w="3523"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7F5CF6DA" w14:textId="77777777" w:rsidR="00940794" w:rsidRPr="00C550AE" w:rsidRDefault="00A6171D" w:rsidP="005E567F">
            <w:pPr>
              <w:widowControl w:val="0"/>
              <w:autoSpaceDE w:val="0"/>
              <w:autoSpaceDN w:val="0"/>
              <w:adjustRightInd w:val="0"/>
              <w:rPr>
                <w:rFonts w:ascii="Arial Narrow" w:hAnsi="Arial Narrow" w:cs="Arial Narrow"/>
                <w:sz w:val="20"/>
                <w:szCs w:val="26"/>
                <w:u w:color="0000E9"/>
                <w:lang w:val="es-ES"/>
              </w:rPr>
            </w:pPr>
            <w:r w:rsidRPr="00BE3239">
              <w:rPr>
                <w:rFonts w:ascii="Arial Narrow" w:hAnsi="Arial Narrow" w:cs="Arial Narrow"/>
                <w:sz w:val="20"/>
                <w:szCs w:val="26"/>
                <w:u w:color="0000E9"/>
                <w:lang w:val="es-ES"/>
              </w:rPr>
              <w:t xml:space="preserve">Se han dado avances significativos en la generación, procesamiento y uso de la información estadística y financiera para el diseño y monitoreo del </w:t>
            </w:r>
            <w:proofErr w:type="spellStart"/>
            <w:r w:rsidRPr="00BE3239">
              <w:rPr>
                <w:rFonts w:ascii="Arial Narrow" w:hAnsi="Arial Narrow" w:cs="Arial Narrow"/>
                <w:sz w:val="20"/>
                <w:szCs w:val="26"/>
                <w:u w:color="0000E9"/>
                <w:lang w:val="es-ES"/>
              </w:rPr>
              <w:t>PdE</w:t>
            </w:r>
            <w:proofErr w:type="spellEnd"/>
            <w:r w:rsidRPr="00C550AE">
              <w:rPr>
                <w:rFonts w:ascii="Arial Narrow" w:hAnsi="Arial Narrow" w:cs="Arial Narrow"/>
                <w:sz w:val="20"/>
                <w:szCs w:val="26"/>
                <w:u w:color="0000E9"/>
                <w:lang w:val="es-ES"/>
              </w:rPr>
              <w:t xml:space="preserve">. </w:t>
            </w:r>
          </w:p>
          <w:p w14:paraId="6F6B0BE2" w14:textId="77777777" w:rsidR="00940794" w:rsidRPr="00C550AE" w:rsidRDefault="00940794" w:rsidP="005E567F">
            <w:pPr>
              <w:widowControl w:val="0"/>
              <w:autoSpaceDE w:val="0"/>
              <w:autoSpaceDN w:val="0"/>
              <w:adjustRightInd w:val="0"/>
              <w:rPr>
                <w:rFonts w:ascii="Arial Narrow" w:hAnsi="Arial Narrow" w:cs="Arial Narrow"/>
                <w:sz w:val="20"/>
                <w:szCs w:val="26"/>
                <w:u w:color="0000E9"/>
                <w:lang w:val="es-ES"/>
              </w:rPr>
            </w:pPr>
          </w:p>
          <w:p w14:paraId="2AB5DF07" w14:textId="4E49919F" w:rsidR="00940794" w:rsidRPr="00C550AE" w:rsidRDefault="005E567F" w:rsidP="005E567F">
            <w:pPr>
              <w:widowControl w:val="0"/>
              <w:autoSpaceDE w:val="0"/>
              <w:autoSpaceDN w:val="0"/>
              <w:adjustRightInd w:val="0"/>
              <w:rPr>
                <w:rFonts w:ascii="Arial Narrow" w:hAnsi="Arial Narrow" w:cs="Arial Narrow"/>
                <w:sz w:val="20"/>
                <w:szCs w:val="26"/>
                <w:u w:color="0000E9"/>
                <w:lang w:val="es-ES"/>
              </w:rPr>
            </w:pPr>
            <w:r w:rsidRPr="00C550AE">
              <w:rPr>
                <w:rFonts w:ascii="Arial Narrow" w:hAnsi="Arial Narrow" w:cs="Arial Narrow"/>
                <w:sz w:val="20"/>
                <w:szCs w:val="26"/>
                <w:u w:color="0000E9"/>
                <w:lang w:val="es-ES"/>
              </w:rPr>
              <w:t xml:space="preserve">El </w:t>
            </w:r>
            <w:r w:rsidR="0025059D" w:rsidRPr="00C550AE">
              <w:rPr>
                <w:rFonts w:ascii="Arial Narrow" w:hAnsi="Arial Narrow" w:cs="Arial Narrow"/>
                <w:sz w:val="20"/>
                <w:szCs w:val="26"/>
                <w:u w:color="0000E9"/>
                <w:lang w:val="es-ES"/>
              </w:rPr>
              <w:t xml:space="preserve">MINED </w:t>
            </w:r>
            <w:r w:rsidR="00A6171D" w:rsidRPr="00C550AE">
              <w:rPr>
                <w:rFonts w:ascii="Arial Narrow" w:hAnsi="Arial Narrow" w:cs="Arial Narrow"/>
                <w:sz w:val="20"/>
                <w:szCs w:val="26"/>
                <w:u w:color="0000E9"/>
                <w:lang w:val="es-ES"/>
              </w:rPr>
              <w:t>cuenta con información y está en proceso de fortalecimiento de sus sistemas de información</w:t>
            </w:r>
            <w:r w:rsidR="00940794" w:rsidRPr="00C550AE">
              <w:rPr>
                <w:rFonts w:ascii="Arial Narrow" w:hAnsi="Arial Narrow" w:cs="Arial Narrow"/>
                <w:sz w:val="20"/>
                <w:szCs w:val="26"/>
                <w:u w:color="0000E9"/>
                <w:lang w:val="es-ES"/>
              </w:rPr>
              <w:t>, y mejoramiento en la calidad y consistencia de la misma</w:t>
            </w:r>
            <w:r w:rsidRPr="00C550AE">
              <w:rPr>
                <w:rFonts w:ascii="Arial Narrow" w:hAnsi="Arial Narrow" w:cs="Arial Narrow"/>
                <w:sz w:val="20"/>
                <w:szCs w:val="26"/>
                <w:u w:color="0000E9"/>
                <w:lang w:val="es-ES"/>
              </w:rPr>
              <w:t xml:space="preserve">. </w:t>
            </w:r>
            <w:r w:rsidR="00940794" w:rsidRPr="00C550AE">
              <w:rPr>
                <w:rFonts w:ascii="Arial Narrow" w:hAnsi="Arial Narrow" w:cs="Arial Narrow"/>
                <w:sz w:val="20"/>
                <w:szCs w:val="26"/>
                <w:u w:color="0000E9"/>
                <w:lang w:val="es-ES"/>
              </w:rPr>
              <w:t>Cualquier solicitud de información por las vías oficiales es atendida por el MINED en la medida de lo pertinente.</w:t>
            </w:r>
          </w:p>
          <w:p w14:paraId="29CA5F2E" w14:textId="77777777" w:rsidR="00940794" w:rsidRPr="00C550AE" w:rsidRDefault="00940794" w:rsidP="005E567F">
            <w:pPr>
              <w:widowControl w:val="0"/>
              <w:autoSpaceDE w:val="0"/>
              <w:autoSpaceDN w:val="0"/>
              <w:adjustRightInd w:val="0"/>
              <w:rPr>
                <w:rFonts w:ascii="Arial Narrow" w:hAnsi="Arial Narrow" w:cs="Arial Narrow"/>
                <w:sz w:val="20"/>
                <w:szCs w:val="26"/>
                <w:u w:color="0000E9"/>
                <w:lang w:val="es-ES"/>
              </w:rPr>
            </w:pPr>
          </w:p>
          <w:p w14:paraId="3B06191B" w14:textId="6B07F103" w:rsidR="008E1EC4" w:rsidRPr="00BE3239" w:rsidRDefault="008E1EC4" w:rsidP="005E567F">
            <w:pPr>
              <w:widowControl w:val="0"/>
              <w:autoSpaceDE w:val="0"/>
              <w:autoSpaceDN w:val="0"/>
              <w:adjustRightInd w:val="0"/>
              <w:rPr>
                <w:rFonts w:ascii="Arial Narrow" w:hAnsi="Arial Narrow" w:cs="Arial Narrow"/>
                <w:sz w:val="20"/>
                <w:szCs w:val="26"/>
                <w:u w:color="0000E9"/>
                <w:lang w:val="es-ES"/>
              </w:rPr>
            </w:pPr>
            <w:r w:rsidRPr="00C550AE">
              <w:rPr>
                <w:rFonts w:ascii="Arial Narrow" w:hAnsi="Arial Narrow" w:cs="Arial Narrow"/>
                <w:sz w:val="20"/>
                <w:szCs w:val="26"/>
                <w:u w:color="0000E9"/>
                <w:lang w:val="es-ES"/>
              </w:rPr>
              <w:t>Se utilizaron l</w:t>
            </w:r>
            <w:r w:rsidR="005E567F" w:rsidRPr="00C550AE">
              <w:rPr>
                <w:rFonts w:ascii="Arial Narrow" w:hAnsi="Arial Narrow" w:cs="Arial Narrow"/>
                <w:sz w:val="20"/>
                <w:szCs w:val="26"/>
                <w:u w:color="0000E9"/>
                <w:lang w:val="es-ES"/>
              </w:rPr>
              <w:t>os datos disponibles</w:t>
            </w:r>
            <w:r w:rsidR="005E567F" w:rsidRPr="00BE3239">
              <w:rPr>
                <w:rFonts w:ascii="Arial Narrow" w:hAnsi="Arial Narrow" w:cs="Arial Narrow"/>
                <w:sz w:val="20"/>
                <w:szCs w:val="26"/>
                <w:u w:color="0000E9"/>
                <w:lang w:val="es-ES"/>
              </w:rPr>
              <w:t xml:space="preserve"> de Encuestas de Hogares corresponden al año 2014</w:t>
            </w:r>
            <w:r w:rsidRPr="00BE3239">
              <w:rPr>
                <w:rFonts w:ascii="Arial Narrow" w:hAnsi="Arial Narrow" w:cs="Arial Narrow"/>
                <w:sz w:val="20"/>
                <w:szCs w:val="26"/>
                <w:u w:color="0000E9"/>
                <w:lang w:val="es-ES"/>
              </w:rPr>
              <w:t xml:space="preserve"> para analizar temas de equidad</w:t>
            </w:r>
            <w:r w:rsidR="005E567F" w:rsidRPr="00BE3239">
              <w:rPr>
                <w:rFonts w:ascii="Arial Narrow" w:hAnsi="Arial Narrow" w:cs="Arial Narrow"/>
                <w:sz w:val="20"/>
                <w:szCs w:val="26"/>
                <w:u w:color="0000E9"/>
                <w:lang w:val="es-ES"/>
              </w:rPr>
              <w:t>.</w:t>
            </w:r>
          </w:p>
        </w:tc>
        <w:tc>
          <w:tcPr>
            <w:tcW w:w="3119"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73FDF241" w14:textId="2155ADB7" w:rsidR="005E567F" w:rsidRPr="00BE3239" w:rsidRDefault="005E567F" w:rsidP="005E567F">
            <w:pPr>
              <w:widowControl w:val="0"/>
              <w:autoSpaceDE w:val="0"/>
              <w:autoSpaceDN w:val="0"/>
              <w:adjustRightInd w:val="0"/>
              <w:rPr>
                <w:rFonts w:ascii="Times" w:hAnsi="Times" w:cs="Times"/>
                <w:szCs w:val="32"/>
                <w:highlight w:val="yellow"/>
                <w:u w:color="0000E9"/>
                <w:lang w:val="es-ES"/>
              </w:rPr>
            </w:pPr>
          </w:p>
        </w:tc>
      </w:tr>
      <w:tr w:rsidR="005E567F" w:rsidRPr="002A5FB6" w14:paraId="3C79299C" w14:textId="77777777" w:rsidTr="008E0B33">
        <w:tblPrEx>
          <w:tblBorders>
            <w:top w:val="none" w:sz="0" w:space="0" w:color="auto"/>
          </w:tblBorders>
        </w:tblPrEx>
        <w:tc>
          <w:tcPr>
            <w:tcW w:w="2822"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31D79683" w14:textId="77777777" w:rsidR="005E567F" w:rsidRPr="00BE3239" w:rsidRDefault="005E567F" w:rsidP="005E567F">
            <w:pPr>
              <w:pStyle w:val="ListParagraph"/>
              <w:widowControl w:val="0"/>
              <w:numPr>
                <w:ilvl w:val="0"/>
                <w:numId w:val="29"/>
              </w:numPr>
              <w:tabs>
                <w:tab w:val="left" w:pos="220"/>
                <w:tab w:val="left" w:pos="720"/>
              </w:tabs>
              <w:autoSpaceDE w:val="0"/>
              <w:autoSpaceDN w:val="0"/>
              <w:adjustRightInd w:val="0"/>
              <w:rPr>
                <w:rFonts w:ascii="Calibri" w:hAnsi="Calibri" w:cs="Calibri"/>
                <w:sz w:val="22"/>
                <w:szCs w:val="30"/>
                <w:u w:color="0000E9"/>
                <w:lang w:val="es-ES"/>
              </w:rPr>
            </w:pPr>
            <w:r w:rsidRPr="00BE3239">
              <w:rPr>
                <w:rFonts w:ascii="Arial Narrow" w:hAnsi="Arial Narrow" w:cs="Arial Narrow"/>
                <w:sz w:val="20"/>
                <w:szCs w:val="26"/>
                <w:u w:color="0000E9"/>
                <w:lang w:val="es-ES"/>
              </w:rPr>
              <w:t xml:space="preserve">Un plan con línea de tiempo para desarrollar o </w:t>
            </w:r>
            <w:r w:rsidRPr="00BE3239">
              <w:rPr>
                <w:rFonts w:ascii="Arial Narrow" w:hAnsi="Arial Narrow" w:cs="Arial Narrow"/>
                <w:sz w:val="20"/>
                <w:szCs w:val="26"/>
                <w:u w:color="0000E9"/>
                <w:lang w:val="es-ES"/>
              </w:rPr>
              <w:lastRenderedPageBreak/>
              <w:t>fortalecer el SIGE nacional</w:t>
            </w:r>
          </w:p>
        </w:tc>
        <w:tc>
          <w:tcPr>
            <w:tcW w:w="3828"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36B5F8FB" w14:textId="77777777" w:rsidR="005E567F" w:rsidRPr="00BE3239" w:rsidRDefault="005E567F" w:rsidP="005E567F">
            <w:pPr>
              <w:widowControl w:val="0"/>
              <w:autoSpaceDE w:val="0"/>
              <w:autoSpaceDN w:val="0"/>
              <w:adjustRightInd w:val="0"/>
              <w:rPr>
                <w:rFonts w:ascii="Times" w:hAnsi="Times" w:cs="Times"/>
                <w:szCs w:val="32"/>
                <w:u w:color="0000E9"/>
                <w:lang w:val="es-ES"/>
              </w:rPr>
            </w:pPr>
          </w:p>
        </w:tc>
        <w:tc>
          <w:tcPr>
            <w:tcW w:w="3523"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7E1D8368" w14:textId="5D2979A9" w:rsidR="005E567F" w:rsidRPr="00BE3239" w:rsidRDefault="005E567F" w:rsidP="005E567F">
            <w:pPr>
              <w:widowControl w:val="0"/>
              <w:autoSpaceDE w:val="0"/>
              <w:autoSpaceDN w:val="0"/>
              <w:adjustRightInd w:val="0"/>
              <w:rPr>
                <w:rFonts w:ascii="Times" w:hAnsi="Times" w:cs="Times"/>
                <w:szCs w:val="32"/>
                <w:u w:color="0000E9"/>
                <w:lang w:val="es-ES"/>
              </w:rPr>
            </w:pPr>
            <w:r w:rsidRPr="00BE3239">
              <w:rPr>
                <w:rFonts w:ascii="Arial Narrow" w:hAnsi="Arial Narrow" w:cs="Arial Narrow"/>
                <w:sz w:val="20"/>
                <w:szCs w:val="26"/>
                <w:u w:color="0000E9"/>
                <w:lang w:val="es-ES"/>
              </w:rPr>
              <w:t xml:space="preserve">Se ha avanzado en todos los sistemas de información que maneja el MINED, y el </w:t>
            </w:r>
            <w:proofErr w:type="spellStart"/>
            <w:r w:rsidRPr="00BE3239">
              <w:rPr>
                <w:rFonts w:ascii="Arial Narrow" w:hAnsi="Arial Narrow" w:cs="Arial Narrow"/>
                <w:sz w:val="20"/>
                <w:szCs w:val="26"/>
                <w:u w:color="0000E9"/>
                <w:lang w:val="es-ES"/>
              </w:rPr>
              <w:t>PdeE</w:t>
            </w:r>
            <w:proofErr w:type="spellEnd"/>
            <w:r w:rsidRPr="00BE3239">
              <w:rPr>
                <w:rFonts w:ascii="Arial Narrow" w:hAnsi="Arial Narrow" w:cs="Arial Narrow"/>
                <w:sz w:val="20"/>
                <w:szCs w:val="26"/>
                <w:u w:color="0000E9"/>
                <w:lang w:val="es-ES"/>
              </w:rPr>
              <w:t xml:space="preserve"> </w:t>
            </w:r>
            <w:r w:rsidRPr="00BE3239">
              <w:rPr>
                <w:rFonts w:ascii="Arial Narrow" w:hAnsi="Arial Narrow" w:cs="Arial Narrow"/>
                <w:sz w:val="20"/>
                <w:szCs w:val="26"/>
                <w:u w:color="0000E9"/>
                <w:lang w:val="es-ES"/>
              </w:rPr>
              <w:lastRenderedPageBreak/>
              <w:t>contiene línea de acción para continuar con el fortalecimiento del SIGE durante el quinquenio.</w:t>
            </w:r>
          </w:p>
        </w:tc>
        <w:tc>
          <w:tcPr>
            <w:tcW w:w="3119"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4D471EE6" w14:textId="77777777" w:rsidR="005E567F" w:rsidRPr="00BE3239" w:rsidRDefault="005E567F" w:rsidP="005E567F">
            <w:pPr>
              <w:widowControl w:val="0"/>
              <w:autoSpaceDE w:val="0"/>
              <w:autoSpaceDN w:val="0"/>
              <w:adjustRightInd w:val="0"/>
              <w:rPr>
                <w:rFonts w:ascii="Times" w:hAnsi="Times" w:cs="Times"/>
                <w:szCs w:val="32"/>
                <w:u w:color="0000E9"/>
                <w:lang w:val="es-ES"/>
              </w:rPr>
            </w:pPr>
          </w:p>
        </w:tc>
      </w:tr>
      <w:tr w:rsidR="005E567F" w:rsidRPr="00BE3239" w14:paraId="3D379344" w14:textId="77777777" w:rsidTr="00C17A30">
        <w:tblPrEx>
          <w:tblBorders>
            <w:top w:val="none" w:sz="0" w:space="0" w:color="auto"/>
          </w:tblBorders>
        </w:tblPrEx>
        <w:tc>
          <w:tcPr>
            <w:tcW w:w="13292" w:type="dxa"/>
            <w:gridSpan w:val="4"/>
            <w:tcBorders>
              <w:top w:val="single" w:sz="10" w:space="0" w:color="000000"/>
              <w:left w:val="single" w:sz="10" w:space="0" w:color="000000"/>
              <w:bottom w:val="single" w:sz="10" w:space="0" w:color="000000"/>
            </w:tcBorders>
            <w:shd w:val="clear" w:color="auto" w:fill="FFFFFF"/>
            <w:tcMar>
              <w:top w:w="20" w:type="nil"/>
              <w:left w:w="20" w:type="nil"/>
              <w:bottom w:w="20" w:type="nil"/>
              <w:right w:w="20" w:type="nil"/>
            </w:tcMar>
            <w:vAlign w:val="bottom"/>
          </w:tcPr>
          <w:p w14:paraId="0F3E072A" w14:textId="77777777" w:rsidR="005E567F" w:rsidRPr="00BE3239" w:rsidRDefault="005E567F" w:rsidP="005E567F">
            <w:pPr>
              <w:widowControl w:val="0"/>
              <w:autoSpaceDE w:val="0"/>
              <w:autoSpaceDN w:val="0"/>
              <w:adjustRightInd w:val="0"/>
              <w:rPr>
                <w:rFonts w:ascii="Times" w:hAnsi="Times" w:cs="Times"/>
                <w:szCs w:val="32"/>
                <w:u w:color="0000E9"/>
                <w:lang w:val="es-ES"/>
              </w:rPr>
            </w:pPr>
          </w:p>
          <w:p w14:paraId="59A5804B" w14:textId="77777777" w:rsidR="005E567F" w:rsidRPr="00BE3239" w:rsidRDefault="005E567F" w:rsidP="005E567F">
            <w:pPr>
              <w:pStyle w:val="ListParagraph"/>
              <w:widowControl w:val="0"/>
              <w:numPr>
                <w:ilvl w:val="1"/>
                <w:numId w:val="30"/>
              </w:numPr>
              <w:autoSpaceDE w:val="0"/>
              <w:autoSpaceDN w:val="0"/>
              <w:adjustRightInd w:val="0"/>
              <w:rPr>
                <w:rFonts w:ascii="Times" w:hAnsi="Times" w:cs="Times"/>
                <w:szCs w:val="32"/>
                <w:u w:color="0000E9"/>
                <w:lang w:val="es-ES"/>
              </w:rPr>
            </w:pPr>
            <w:r w:rsidRPr="00BE3239">
              <w:rPr>
                <w:rFonts w:ascii="Arial Narrow" w:hAnsi="Arial Narrow" w:cs="Arial Narrow"/>
                <w:b/>
                <w:bCs/>
                <w:sz w:val="20"/>
                <w:szCs w:val="26"/>
                <w:u w:color="0000E9"/>
                <w:lang w:val="es-ES"/>
              </w:rPr>
              <w:t>Sistema o mecanismo para monitorear los resultados de aprendizaje</w:t>
            </w:r>
          </w:p>
        </w:tc>
      </w:tr>
      <w:tr w:rsidR="005E567F" w:rsidRPr="002A5FB6" w14:paraId="23FFE922" w14:textId="77777777" w:rsidTr="008E0B33">
        <w:tblPrEx>
          <w:tblBorders>
            <w:top w:val="none" w:sz="0" w:space="0" w:color="auto"/>
          </w:tblBorders>
        </w:tblPrEx>
        <w:tc>
          <w:tcPr>
            <w:tcW w:w="2822"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18195F43" w14:textId="77777777" w:rsidR="005E567F" w:rsidRPr="00BE3239" w:rsidRDefault="005E567F" w:rsidP="005E567F">
            <w:pPr>
              <w:pStyle w:val="ListParagraph"/>
              <w:widowControl w:val="0"/>
              <w:numPr>
                <w:ilvl w:val="0"/>
                <w:numId w:val="31"/>
              </w:numPr>
              <w:tabs>
                <w:tab w:val="left" w:pos="220"/>
                <w:tab w:val="left" w:pos="720"/>
              </w:tabs>
              <w:autoSpaceDE w:val="0"/>
              <w:autoSpaceDN w:val="0"/>
              <w:adjustRightInd w:val="0"/>
              <w:rPr>
                <w:rFonts w:ascii="Calibri" w:hAnsi="Calibri" w:cs="Calibri"/>
                <w:sz w:val="22"/>
                <w:szCs w:val="30"/>
                <w:u w:color="0000E9"/>
                <w:lang w:val="es-ES"/>
              </w:rPr>
            </w:pPr>
            <w:r w:rsidRPr="00BE3239">
              <w:rPr>
                <w:rFonts w:ascii="Arial Narrow" w:hAnsi="Arial Narrow" w:cs="Arial Narrow"/>
                <w:sz w:val="20"/>
                <w:szCs w:val="26"/>
                <w:u w:color="0000E9"/>
                <w:lang w:val="es-ES"/>
              </w:rPr>
              <w:t>Sistema o mecanismo de seguimiento de los resultados de aprendizaje</w:t>
            </w:r>
            <w:r w:rsidRPr="00BE3239">
              <w:rPr>
                <w:rFonts w:ascii="Calibri" w:hAnsi="Calibri" w:cs="Calibri"/>
                <w:sz w:val="22"/>
                <w:szCs w:val="30"/>
                <w:u w:color="0000E9"/>
                <w:lang w:val="es-ES"/>
              </w:rPr>
              <w:t xml:space="preserve"> </w:t>
            </w:r>
          </w:p>
          <w:p w14:paraId="206852BA" w14:textId="72252995" w:rsidR="005E567F" w:rsidRPr="00BE3239" w:rsidRDefault="005E567F" w:rsidP="005E567F">
            <w:pPr>
              <w:widowControl w:val="0"/>
              <w:autoSpaceDE w:val="0"/>
              <w:autoSpaceDN w:val="0"/>
              <w:adjustRightInd w:val="0"/>
              <w:rPr>
                <w:rFonts w:ascii="Times" w:hAnsi="Times" w:cs="Times"/>
                <w:szCs w:val="32"/>
                <w:u w:color="0000E9"/>
                <w:lang w:val="es-ES"/>
              </w:rPr>
            </w:pPr>
          </w:p>
          <w:p w14:paraId="5D3A64B0" w14:textId="77777777" w:rsidR="005E567F" w:rsidRPr="00BE3239" w:rsidRDefault="005E567F" w:rsidP="005E567F">
            <w:pPr>
              <w:pStyle w:val="ListParagraph"/>
              <w:widowControl w:val="0"/>
              <w:numPr>
                <w:ilvl w:val="0"/>
                <w:numId w:val="31"/>
              </w:numPr>
              <w:tabs>
                <w:tab w:val="left" w:pos="220"/>
                <w:tab w:val="left" w:pos="720"/>
              </w:tabs>
              <w:autoSpaceDE w:val="0"/>
              <w:autoSpaceDN w:val="0"/>
              <w:adjustRightInd w:val="0"/>
              <w:rPr>
                <w:rFonts w:ascii="Calibri" w:hAnsi="Calibri" w:cs="Calibri"/>
                <w:sz w:val="22"/>
                <w:szCs w:val="30"/>
                <w:u w:color="0000E9"/>
                <w:lang w:val="es-ES"/>
              </w:rPr>
            </w:pPr>
            <w:r w:rsidRPr="00BE3239">
              <w:rPr>
                <w:rFonts w:ascii="Arial Narrow" w:hAnsi="Arial Narrow" w:cs="Arial Narrow"/>
                <w:sz w:val="20"/>
                <w:szCs w:val="26"/>
                <w:u w:color="0000E9"/>
                <w:lang w:val="es-ES"/>
              </w:rPr>
              <w:t>Un plan para desarrollar mecanismos para monitorear los resultados del aprendizaje</w:t>
            </w:r>
          </w:p>
        </w:tc>
        <w:tc>
          <w:tcPr>
            <w:tcW w:w="3828"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243599D8" w14:textId="77777777" w:rsidR="005E567F" w:rsidRPr="00BE3239" w:rsidRDefault="005E567F" w:rsidP="005E567F">
            <w:pPr>
              <w:widowControl w:val="0"/>
              <w:autoSpaceDE w:val="0"/>
              <w:autoSpaceDN w:val="0"/>
              <w:adjustRightInd w:val="0"/>
              <w:rPr>
                <w:rFonts w:ascii="Times" w:hAnsi="Times" w:cs="Times"/>
                <w:szCs w:val="32"/>
                <w:u w:color="0000E9"/>
                <w:lang w:val="es-ES"/>
              </w:rPr>
            </w:pPr>
            <w:r w:rsidRPr="00BE3239">
              <w:rPr>
                <w:rFonts w:ascii="Arial Narrow" w:hAnsi="Arial Narrow" w:cs="Arial Narrow"/>
                <w:color w:val="1A1A1A"/>
                <w:sz w:val="20"/>
                <w:szCs w:val="26"/>
                <w:u w:color="0000E9"/>
                <w:lang w:val="es-ES"/>
              </w:rPr>
              <w:t>Tipos de evaluaciones de aprendizaje realizadas y años realizados - nacional e internacional, niveles de educación abordados, Temas cubiertos, Disponibilidad de bases de datos, Fuentes de financiamiento, Implementador de la evaluación, Planes de futuras evaluaciones y frecuencia, e intención de uso</w:t>
            </w:r>
          </w:p>
        </w:tc>
        <w:tc>
          <w:tcPr>
            <w:tcW w:w="3523"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05D17B8F" w14:textId="0D67DED5" w:rsidR="005E567F" w:rsidRPr="00BE3239" w:rsidRDefault="005E567F" w:rsidP="005E567F">
            <w:pPr>
              <w:widowControl w:val="0"/>
              <w:autoSpaceDE w:val="0"/>
              <w:autoSpaceDN w:val="0"/>
              <w:adjustRightInd w:val="0"/>
              <w:rPr>
                <w:rFonts w:ascii="Arial Narrow" w:hAnsi="Arial Narrow" w:cs="Arial Narrow"/>
                <w:color w:val="1A1A1A"/>
                <w:sz w:val="20"/>
                <w:szCs w:val="26"/>
                <w:u w:color="0000E9"/>
                <w:lang w:val="es-ES"/>
              </w:rPr>
            </w:pPr>
            <w:r w:rsidRPr="00BE3239">
              <w:rPr>
                <w:rFonts w:ascii="Arial Narrow" w:hAnsi="Arial Narrow" w:cs="Arial Narrow"/>
                <w:color w:val="1A1A1A"/>
                <w:sz w:val="20"/>
                <w:szCs w:val="26"/>
                <w:u w:color="0000E9"/>
                <w:lang w:val="es-ES"/>
              </w:rPr>
              <w:t xml:space="preserve">El </w:t>
            </w:r>
            <w:proofErr w:type="spellStart"/>
            <w:r w:rsidRPr="00BE3239">
              <w:rPr>
                <w:rFonts w:ascii="Arial Narrow" w:hAnsi="Arial Narrow" w:cs="Arial Narrow"/>
                <w:color w:val="1A1A1A"/>
                <w:sz w:val="20"/>
                <w:szCs w:val="26"/>
                <w:u w:color="0000E9"/>
                <w:lang w:val="es-ES"/>
              </w:rPr>
              <w:t>PdE</w:t>
            </w:r>
            <w:proofErr w:type="spellEnd"/>
            <w:r w:rsidRPr="00BE3239">
              <w:rPr>
                <w:rFonts w:ascii="Arial Narrow" w:hAnsi="Arial Narrow" w:cs="Arial Narrow"/>
                <w:color w:val="1A1A1A"/>
                <w:sz w:val="20"/>
                <w:szCs w:val="26"/>
                <w:u w:color="0000E9"/>
                <w:lang w:val="es-ES"/>
              </w:rPr>
              <w:t xml:space="preserve"> contiene la proyección de las evaluaciones de aprendizajes que se realizará</w:t>
            </w:r>
            <w:r w:rsidR="00682C7A" w:rsidRPr="00BE3239">
              <w:rPr>
                <w:rFonts w:ascii="Arial Narrow" w:hAnsi="Arial Narrow" w:cs="Arial Narrow"/>
                <w:color w:val="1A1A1A"/>
                <w:sz w:val="20"/>
                <w:szCs w:val="26"/>
                <w:u w:color="0000E9"/>
                <w:lang w:val="es-ES"/>
              </w:rPr>
              <w:t xml:space="preserve">n en el período, a nivel internacional con el LLECE para 3° y 6° en Matemática y Lengua; </w:t>
            </w:r>
            <w:proofErr w:type="gramStart"/>
            <w:r w:rsidR="00682C7A" w:rsidRPr="00BE3239">
              <w:rPr>
                <w:rFonts w:ascii="Arial Narrow" w:hAnsi="Arial Narrow" w:cs="Arial Narrow"/>
                <w:color w:val="1A1A1A"/>
                <w:sz w:val="20"/>
                <w:szCs w:val="26"/>
                <w:u w:color="0000E9"/>
                <w:lang w:val="es-ES"/>
              </w:rPr>
              <w:t>y  a</w:t>
            </w:r>
            <w:proofErr w:type="gramEnd"/>
            <w:r w:rsidR="00682C7A" w:rsidRPr="00BE3239">
              <w:rPr>
                <w:rFonts w:ascii="Arial Narrow" w:hAnsi="Arial Narrow" w:cs="Arial Narrow"/>
                <w:color w:val="1A1A1A"/>
                <w:sz w:val="20"/>
                <w:szCs w:val="26"/>
                <w:u w:color="0000E9"/>
                <w:lang w:val="es-ES"/>
              </w:rPr>
              <w:t xml:space="preserve"> nivel nacional en Lengua y Matemática para 4°, 6°, 9° y 11° grado, con una periodicidad de 4 años. Para Preescolar, se realizarán Evaluaciones de Desarrollo Infantil (SEIDI) periódicamente. Y se plantean valoraciones de los resultados de la formación continua del magisterio, a través de observaciones de aula.</w:t>
            </w:r>
          </w:p>
          <w:p w14:paraId="375BA825" w14:textId="08B77E92" w:rsidR="00682C7A" w:rsidRPr="00BE3239" w:rsidRDefault="00682C7A" w:rsidP="005E567F">
            <w:pPr>
              <w:widowControl w:val="0"/>
              <w:autoSpaceDE w:val="0"/>
              <w:autoSpaceDN w:val="0"/>
              <w:adjustRightInd w:val="0"/>
              <w:rPr>
                <w:rFonts w:ascii="Times" w:hAnsi="Times" w:cs="Times"/>
                <w:szCs w:val="32"/>
                <w:u w:color="0000E9"/>
                <w:lang w:val="es-ES"/>
              </w:rPr>
            </w:pPr>
            <w:r w:rsidRPr="00BE3239">
              <w:rPr>
                <w:rFonts w:ascii="Arial Narrow" w:hAnsi="Arial Narrow" w:cs="Arial Narrow"/>
                <w:color w:val="1A1A1A"/>
                <w:sz w:val="20"/>
                <w:szCs w:val="26"/>
                <w:u w:color="0000E9"/>
                <w:lang w:val="es-ES"/>
              </w:rPr>
              <w:t xml:space="preserve">El </w:t>
            </w:r>
            <w:proofErr w:type="spellStart"/>
            <w:r w:rsidRPr="00BE3239">
              <w:rPr>
                <w:rFonts w:ascii="Arial Narrow" w:hAnsi="Arial Narrow" w:cs="Arial Narrow"/>
                <w:color w:val="1A1A1A"/>
                <w:sz w:val="20"/>
                <w:szCs w:val="26"/>
                <w:u w:color="0000E9"/>
                <w:lang w:val="es-ES"/>
              </w:rPr>
              <w:t>PdE</w:t>
            </w:r>
            <w:proofErr w:type="spellEnd"/>
            <w:r w:rsidRPr="00BE3239">
              <w:rPr>
                <w:rFonts w:ascii="Arial Narrow" w:hAnsi="Arial Narrow" w:cs="Arial Narrow"/>
                <w:color w:val="1A1A1A"/>
                <w:sz w:val="20"/>
                <w:szCs w:val="26"/>
                <w:u w:color="0000E9"/>
                <w:lang w:val="es-ES"/>
              </w:rPr>
              <w:t xml:space="preserve"> contiene la realización de investigaciones educativas comparativas de los resultados de las modalidades educativas.</w:t>
            </w:r>
          </w:p>
        </w:tc>
        <w:tc>
          <w:tcPr>
            <w:tcW w:w="3119"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524E6184" w14:textId="17D7693A" w:rsidR="005E567F" w:rsidRPr="00BE3239" w:rsidRDefault="005E567F" w:rsidP="005E567F">
            <w:pPr>
              <w:widowControl w:val="0"/>
              <w:autoSpaceDE w:val="0"/>
              <w:autoSpaceDN w:val="0"/>
              <w:adjustRightInd w:val="0"/>
              <w:rPr>
                <w:rFonts w:ascii="Times" w:hAnsi="Times" w:cs="Times"/>
                <w:szCs w:val="32"/>
                <w:u w:color="0000E9"/>
                <w:lang w:val="es-ES"/>
              </w:rPr>
            </w:pPr>
          </w:p>
        </w:tc>
      </w:tr>
      <w:tr w:rsidR="005E567F" w:rsidRPr="002A5FB6" w14:paraId="5CAF698C" w14:textId="77777777" w:rsidTr="008E0B33">
        <w:tblPrEx>
          <w:tblBorders>
            <w:top w:val="none" w:sz="0" w:space="0" w:color="auto"/>
          </w:tblBorders>
        </w:tblPrEx>
        <w:tc>
          <w:tcPr>
            <w:tcW w:w="13292" w:type="dxa"/>
            <w:gridSpan w:val="4"/>
            <w:tcBorders>
              <w:top w:val="single" w:sz="10" w:space="0" w:color="000000"/>
              <w:left w:val="single" w:sz="10" w:space="0" w:color="000000"/>
              <w:bottom w:val="single" w:sz="10" w:space="0" w:color="000000"/>
            </w:tcBorders>
            <w:shd w:val="clear" w:color="auto" w:fill="FFFFFF"/>
            <w:tcMar>
              <w:top w:w="20" w:type="nil"/>
              <w:left w:w="20" w:type="nil"/>
              <w:bottom w:w="20" w:type="nil"/>
              <w:right w:w="20" w:type="nil"/>
            </w:tcMar>
          </w:tcPr>
          <w:p w14:paraId="2B9F9193" w14:textId="507DC0C4" w:rsidR="005E567F" w:rsidRPr="00BE3239" w:rsidRDefault="005E567F" w:rsidP="005E567F">
            <w:pPr>
              <w:widowControl w:val="0"/>
              <w:autoSpaceDE w:val="0"/>
              <w:autoSpaceDN w:val="0"/>
              <w:adjustRightInd w:val="0"/>
              <w:rPr>
                <w:rFonts w:ascii="Calibri" w:hAnsi="Calibri" w:cs="Calibri"/>
                <w:sz w:val="22"/>
                <w:szCs w:val="30"/>
                <w:u w:color="0000E9"/>
                <w:lang w:val="es-ES"/>
              </w:rPr>
            </w:pPr>
          </w:p>
          <w:p w14:paraId="23A06E2D" w14:textId="77777777" w:rsidR="005E567F" w:rsidRPr="00BE3239" w:rsidRDefault="005E567F" w:rsidP="005E567F">
            <w:pPr>
              <w:pStyle w:val="ListParagraph"/>
              <w:widowControl w:val="0"/>
              <w:numPr>
                <w:ilvl w:val="1"/>
                <w:numId w:val="30"/>
              </w:numPr>
              <w:tabs>
                <w:tab w:val="left" w:pos="940"/>
                <w:tab w:val="left" w:pos="1440"/>
              </w:tabs>
              <w:autoSpaceDE w:val="0"/>
              <w:autoSpaceDN w:val="0"/>
              <w:adjustRightInd w:val="0"/>
              <w:rPr>
                <w:rFonts w:ascii="Calibri" w:hAnsi="Calibri" w:cs="Calibri"/>
                <w:sz w:val="22"/>
                <w:szCs w:val="30"/>
                <w:u w:color="0000E9"/>
                <w:lang w:val="es-ES"/>
              </w:rPr>
            </w:pPr>
            <w:r w:rsidRPr="00BE3239">
              <w:rPr>
                <w:rFonts w:ascii="Arial Narrow" w:hAnsi="Arial Narrow" w:cs="Arial Narrow"/>
                <w:b/>
                <w:bCs/>
                <w:sz w:val="20"/>
                <w:szCs w:val="26"/>
                <w:u w:color="0000E9"/>
                <w:lang w:val="es-ES"/>
              </w:rPr>
              <w:t>Reporte de datos esenciales al Instituto de Estadística de la UNESCO para el monitoreo global del progreso de la educación</w:t>
            </w:r>
          </w:p>
        </w:tc>
      </w:tr>
      <w:tr w:rsidR="005E567F" w:rsidRPr="002A5FB6" w14:paraId="21980A58" w14:textId="77777777" w:rsidTr="008E0B33">
        <w:tc>
          <w:tcPr>
            <w:tcW w:w="2822"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5070F859" w14:textId="77777777" w:rsidR="005E567F" w:rsidRPr="00BE3239" w:rsidRDefault="005E567F" w:rsidP="005E567F">
            <w:pPr>
              <w:pStyle w:val="ListParagraph"/>
              <w:widowControl w:val="0"/>
              <w:numPr>
                <w:ilvl w:val="0"/>
                <w:numId w:val="32"/>
              </w:numPr>
              <w:tabs>
                <w:tab w:val="left" w:pos="220"/>
                <w:tab w:val="left" w:pos="720"/>
              </w:tabs>
              <w:autoSpaceDE w:val="0"/>
              <w:autoSpaceDN w:val="0"/>
              <w:adjustRightInd w:val="0"/>
              <w:rPr>
                <w:rFonts w:ascii="Calibri" w:hAnsi="Calibri" w:cs="Calibri"/>
                <w:sz w:val="22"/>
                <w:szCs w:val="30"/>
                <w:u w:color="0000E9"/>
                <w:lang w:val="es-ES"/>
              </w:rPr>
            </w:pPr>
            <w:r w:rsidRPr="00BE3239">
              <w:rPr>
                <w:rFonts w:ascii="Arial Narrow" w:hAnsi="Arial Narrow" w:cs="Arial Narrow"/>
                <w:sz w:val="20"/>
                <w:szCs w:val="26"/>
                <w:u w:color="0000E9"/>
                <w:lang w:val="es-ES"/>
              </w:rPr>
              <w:t>El tipo de datos que se informó (especifique el año) + desafíos identificados para el informe de los datos + estrategias implementadas para mejorar la presentación de informes al IEU</w:t>
            </w:r>
          </w:p>
        </w:tc>
        <w:tc>
          <w:tcPr>
            <w:tcW w:w="3828"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18F45C08" w14:textId="77777777" w:rsidR="005E567F" w:rsidRPr="00BE3239" w:rsidRDefault="005E567F" w:rsidP="005E567F">
            <w:pPr>
              <w:widowControl w:val="0"/>
              <w:autoSpaceDE w:val="0"/>
              <w:autoSpaceDN w:val="0"/>
              <w:adjustRightInd w:val="0"/>
              <w:rPr>
                <w:rFonts w:ascii="Times" w:hAnsi="Times" w:cs="Times"/>
                <w:szCs w:val="32"/>
                <w:u w:color="0000E9"/>
                <w:lang w:val="es-ES"/>
              </w:rPr>
            </w:pPr>
          </w:p>
        </w:tc>
        <w:tc>
          <w:tcPr>
            <w:tcW w:w="3523"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4A775F25" w14:textId="77777777" w:rsidR="005E567F" w:rsidRPr="00C550AE" w:rsidRDefault="005E567F" w:rsidP="005E567F">
            <w:pPr>
              <w:widowControl w:val="0"/>
              <w:autoSpaceDE w:val="0"/>
              <w:autoSpaceDN w:val="0"/>
              <w:adjustRightInd w:val="0"/>
              <w:rPr>
                <w:rFonts w:ascii="Arial Narrow" w:hAnsi="Arial Narrow" w:cs="Arial Narrow"/>
                <w:color w:val="1A1A1A"/>
                <w:sz w:val="20"/>
                <w:szCs w:val="26"/>
                <w:u w:color="0000E9"/>
                <w:lang w:val="es-ES"/>
              </w:rPr>
            </w:pPr>
            <w:r w:rsidRPr="00BE3239">
              <w:rPr>
                <w:rFonts w:ascii="Arial Narrow" w:hAnsi="Arial Narrow" w:cs="Arial Narrow"/>
                <w:color w:val="1A1A1A"/>
                <w:sz w:val="20"/>
                <w:szCs w:val="26"/>
                <w:u w:color="0000E9"/>
                <w:lang w:val="es-ES"/>
              </w:rPr>
              <w:t xml:space="preserve">El último </w:t>
            </w:r>
            <w:r w:rsidRPr="00C550AE">
              <w:rPr>
                <w:rFonts w:ascii="Arial Narrow" w:hAnsi="Arial Narrow" w:cs="Arial Narrow"/>
                <w:color w:val="1A1A1A"/>
                <w:sz w:val="20"/>
                <w:szCs w:val="26"/>
                <w:u w:color="0000E9"/>
                <w:lang w:val="es-ES"/>
              </w:rPr>
              <w:t xml:space="preserve">reporte de datos a UNESCO </w:t>
            </w:r>
            <w:r w:rsidR="00ED1E73" w:rsidRPr="00C550AE">
              <w:rPr>
                <w:rFonts w:ascii="Arial Narrow" w:hAnsi="Arial Narrow" w:cs="Arial Narrow"/>
                <w:color w:val="1A1A1A"/>
                <w:sz w:val="20"/>
                <w:szCs w:val="26"/>
                <w:u w:color="0000E9"/>
                <w:lang w:val="es-ES"/>
              </w:rPr>
              <w:t>corresponde</w:t>
            </w:r>
            <w:r w:rsidRPr="00C550AE">
              <w:rPr>
                <w:rFonts w:ascii="Arial Narrow" w:hAnsi="Arial Narrow" w:cs="Arial Narrow"/>
                <w:color w:val="1A1A1A"/>
                <w:sz w:val="20"/>
                <w:szCs w:val="26"/>
                <w:u w:color="0000E9"/>
                <w:lang w:val="es-ES"/>
              </w:rPr>
              <w:t xml:space="preserve"> al año 2009.</w:t>
            </w:r>
          </w:p>
          <w:p w14:paraId="2BB916F8" w14:textId="77777777" w:rsidR="00ED1E73" w:rsidRPr="00C550AE" w:rsidRDefault="00ED1E73" w:rsidP="005E567F">
            <w:pPr>
              <w:widowControl w:val="0"/>
              <w:autoSpaceDE w:val="0"/>
              <w:autoSpaceDN w:val="0"/>
              <w:adjustRightInd w:val="0"/>
              <w:rPr>
                <w:rFonts w:ascii="Arial Narrow" w:hAnsi="Arial Narrow" w:cs="Arial Narrow"/>
                <w:color w:val="1A1A1A"/>
                <w:sz w:val="20"/>
                <w:szCs w:val="26"/>
                <w:u w:color="0000E9"/>
                <w:lang w:val="es-ES"/>
              </w:rPr>
            </w:pPr>
          </w:p>
          <w:p w14:paraId="717B4F62" w14:textId="2EDE7D25" w:rsidR="00785306" w:rsidRPr="00BE3239" w:rsidRDefault="00785306" w:rsidP="00785306">
            <w:pPr>
              <w:widowControl w:val="0"/>
              <w:autoSpaceDE w:val="0"/>
              <w:autoSpaceDN w:val="0"/>
              <w:adjustRightInd w:val="0"/>
              <w:rPr>
                <w:rFonts w:ascii="Arial Narrow" w:hAnsi="Arial Narrow" w:cs="Arial Narrow"/>
                <w:color w:val="1A1A1A"/>
                <w:sz w:val="20"/>
                <w:szCs w:val="26"/>
                <w:u w:color="0000E9"/>
                <w:lang w:val="es-ES"/>
              </w:rPr>
            </w:pPr>
            <w:r w:rsidRPr="00C550AE">
              <w:rPr>
                <w:rFonts w:ascii="Arial Narrow" w:hAnsi="Arial Narrow" w:cs="Arial Narrow"/>
                <w:sz w:val="20"/>
                <w:szCs w:val="26"/>
                <w:u w:color="0000E9"/>
                <w:lang w:val="es-ES"/>
              </w:rPr>
              <w:t xml:space="preserve">El MINED se encuentra en un proceso de fortalecimiento de sus sistemas de información, y mejoramiento en la calidad y consistencia de la misma. </w:t>
            </w:r>
          </w:p>
        </w:tc>
        <w:tc>
          <w:tcPr>
            <w:tcW w:w="3119" w:type="dxa"/>
            <w:tcBorders>
              <w:top w:val="single" w:sz="10" w:space="0" w:color="000000"/>
              <w:left w:val="single" w:sz="10" w:space="0" w:color="000000"/>
              <w:bottom w:val="single" w:sz="10" w:space="0" w:color="000000"/>
              <w:right w:val="single" w:sz="10" w:space="0" w:color="000000"/>
            </w:tcBorders>
            <w:shd w:val="clear" w:color="auto" w:fill="FFFFFF"/>
            <w:tcMar>
              <w:top w:w="20" w:type="nil"/>
              <w:left w:w="20" w:type="nil"/>
              <w:bottom w:w="20" w:type="nil"/>
              <w:right w:w="20" w:type="nil"/>
            </w:tcMar>
          </w:tcPr>
          <w:p w14:paraId="22A15073" w14:textId="737838F0" w:rsidR="005E567F" w:rsidRPr="00BE3239" w:rsidRDefault="005E567F" w:rsidP="005E567F">
            <w:pPr>
              <w:widowControl w:val="0"/>
              <w:autoSpaceDE w:val="0"/>
              <w:autoSpaceDN w:val="0"/>
              <w:adjustRightInd w:val="0"/>
              <w:rPr>
                <w:rFonts w:ascii="Times" w:hAnsi="Times" w:cs="Times"/>
                <w:szCs w:val="32"/>
                <w:u w:color="0000E9"/>
                <w:lang w:val="es-ES"/>
              </w:rPr>
            </w:pPr>
          </w:p>
        </w:tc>
      </w:tr>
    </w:tbl>
    <w:p w14:paraId="60D19F25" w14:textId="77777777" w:rsidR="00BA2268" w:rsidRPr="00BE3239" w:rsidRDefault="002A5FB6" w:rsidP="00EC284D">
      <w:pPr>
        <w:widowControl w:val="0"/>
        <w:autoSpaceDE w:val="0"/>
        <w:autoSpaceDN w:val="0"/>
        <w:adjustRightInd w:val="0"/>
        <w:rPr>
          <w:sz w:val="18"/>
          <w:lang w:val="es-ES"/>
        </w:rPr>
      </w:pPr>
    </w:p>
    <w:sectPr w:rsidR="00BA2268" w:rsidRPr="00BE3239" w:rsidSect="00EC284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454C7AC"/>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3"/>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5"/>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000002BE">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lowerLetter"/>
      <w:lvlText w:val="%1"/>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lvl>
    <w:lvl w:ilvl="1" w:tplc="0000070A">
      <w:start w:val="4"/>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5CB5C4F"/>
    <w:multiLevelType w:val="multilevel"/>
    <w:tmpl w:val="12DCDE3A"/>
    <w:lvl w:ilvl="0">
      <w:start w:val="3"/>
      <w:numFmt w:val="decimal"/>
      <w:lvlText w:val="%1"/>
      <w:lvlJc w:val="left"/>
      <w:pPr>
        <w:ind w:left="360" w:hanging="360"/>
      </w:pPr>
      <w:rPr>
        <w:rFonts w:ascii="Arial Narrow" w:hAnsi="Arial Narrow" w:cs="Arial Narrow" w:hint="default"/>
        <w:b/>
        <w:sz w:val="26"/>
      </w:rPr>
    </w:lvl>
    <w:lvl w:ilvl="1">
      <w:start w:val="1"/>
      <w:numFmt w:val="decimal"/>
      <w:lvlText w:val="%1.%2"/>
      <w:lvlJc w:val="left"/>
      <w:pPr>
        <w:ind w:left="720" w:hanging="720"/>
      </w:pPr>
      <w:rPr>
        <w:rFonts w:ascii="Arial Narrow" w:hAnsi="Arial Narrow" w:cs="Arial Narrow" w:hint="default"/>
        <w:b/>
        <w:sz w:val="26"/>
      </w:rPr>
    </w:lvl>
    <w:lvl w:ilvl="2">
      <w:start w:val="1"/>
      <w:numFmt w:val="decimal"/>
      <w:lvlText w:val="%1.%2.%3"/>
      <w:lvlJc w:val="left"/>
      <w:pPr>
        <w:ind w:left="720" w:hanging="720"/>
      </w:pPr>
      <w:rPr>
        <w:rFonts w:ascii="Arial Narrow" w:hAnsi="Arial Narrow" w:cs="Arial Narrow" w:hint="default"/>
        <w:b/>
        <w:sz w:val="26"/>
      </w:rPr>
    </w:lvl>
    <w:lvl w:ilvl="3">
      <w:start w:val="1"/>
      <w:numFmt w:val="decimal"/>
      <w:lvlText w:val="%1.%2.%3.%4"/>
      <w:lvlJc w:val="left"/>
      <w:pPr>
        <w:ind w:left="1080" w:hanging="1080"/>
      </w:pPr>
      <w:rPr>
        <w:rFonts w:ascii="Arial Narrow" w:hAnsi="Arial Narrow" w:cs="Arial Narrow" w:hint="default"/>
        <w:b/>
        <w:sz w:val="26"/>
      </w:rPr>
    </w:lvl>
    <w:lvl w:ilvl="4">
      <w:start w:val="1"/>
      <w:numFmt w:val="decimal"/>
      <w:lvlText w:val="%1.%2.%3.%4.%5"/>
      <w:lvlJc w:val="left"/>
      <w:pPr>
        <w:ind w:left="1440" w:hanging="1440"/>
      </w:pPr>
      <w:rPr>
        <w:rFonts w:ascii="Arial Narrow" w:hAnsi="Arial Narrow" w:cs="Arial Narrow" w:hint="default"/>
        <w:b/>
        <w:sz w:val="26"/>
      </w:rPr>
    </w:lvl>
    <w:lvl w:ilvl="5">
      <w:start w:val="1"/>
      <w:numFmt w:val="decimal"/>
      <w:lvlText w:val="%1.%2.%3.%4.%5.%6"/>
      <w:lvlJc w:val="left"/>
      <w:pPr>
        <w:ind w:left="1440" w:hanging="1440"/>
      </w:pPr>
      <w:rPr>
        <w:rFonts w:ascii="Arial Narrow" w:hAnsi="Arial Narrow" w:cs="Arial Narrow" w:hint="default"/>
        <w:b/>
        <w:sz w:val="26"/>
      </w:rPr>
    </w:lvl>
    <w:lvl w:ilvl="6">
      <w:start w:val="1"/>
      <w:numFmt w:val="decimal"/>
      <w:lvlText w:val="%1.%2.%3.%4.%5.%6.%7"/>
      <w:lvlJc w:val="left"/>
      <w:pPr>
        <w:ind w:left="1800" w:hanging="1800"/>
      </w:pPr>
      <w:rPr>
        <w:rFonts w:ascii="Arial Narrow" w:hAnsi="Arial Narrow" w:cs="Arial Narrow" w:hint="default"/>
        <w:b/>
        <w:sz w:val="26"/>
      </w:rPr>
    </w:lvl>
    <w:lvl w:ilvl="7">
      <w:start w:val="1"/>
      <w:numFmt w:val="decimal"/>
      <w:lvlText w:val="%1.%2.%3.%4.%5.%6.%7.%8"/>
      <w:lvlJc w:val="left"/>
      <w:pPr>
        <w:ind w:left="2160" w:hanging="2160"/>
      </w:pPr>
      <w:rPr>
        <w:rFonts w:ascii="Arial Narrow" w:hAnsi="Arial Narrow" w:cs="Arial Narrow" w:hint="default"/>
        <w:b/>
        <w:sz w:val="26"/>
      </w:rPr>
    </w:lvl>
    <w:lvl w:ilvl="8">
      <w:start w:val="1"/>
      <w:numFmt w:val="decimal"/>
      <w:lvlText w:val="%1.%2.%3.%4.%5.%6.%7.%8.%9"/>
      <w:lvlJc w:val="left"/>
      <w:pPr>
        <w:ind w:left="2160" w:hanging="2160"/>
      </w:pPr>
      <w:rPr>
        <w:rFonts w:ascii="Arial Narrow" w:hAnsi="Arial Narrow" w:cs="Arial Narrow" w:hint="default"/>
        <w:b/>
        <w:sz w:val="26"/>
      </w:rPr>
    </w:lvl>
  </w:abstractNum>
  <w:abstractNum w:abstractNumId="21" w15:restartNumberingAfterBreak="0">
    <w:nsid w:val="06E77ABF"/>
    <w:multiLevelType w:val="multilevel"/>
    <w:tmpl w:val="AE52056C"/>
    <w:lvl w:ilvl="0">
      <w:start w:val="2"/>
      <w:numFmt w:val="decimal"/>
      <w:lvlText w:val="%1"/>
      <w:lvlJc w:val="left"/>
      <w:pPr>
        <w:ind w:left="360" w:hanging="360"/>
      </w:pPr>
      <w:rPr>
        <w:rFonts w:ascii="Arial Narrow" w:hAnsi="Arial Narrow" w:cs="Arial Narrow" w:hint="default"/>
        <w:b/>
        <w:sz w:val="26"/>
      </w:rPr>
    </w:lvl>
    <w:lvl w:ilvl="1">
      <w:start w:val="1"/>
      <w:numFmt w:val="decimal"/>
      <w:lvlText w:val="%1.%2"/>
      <w:lvlJc w:val="left"/>
      <w:pPr>
        <w:ind w:left="720" w:hanging="720"/>
      </w:pPr>
      <w:rPr>
        <w:rFonts w:ascii="Arial Narrow" w:hAnsi="Arial Narrow" w:cs="Arial Narrow" w:hint="default"/>
        <w:b/>
        <w:sz w:val="26"/>
      </w:rPr>
    </w:lvl>
    <w:lvl w:ilvl="2">
      <w:start w:val="1"/>
      <w:numFmt w:val="decimal"/>
      <w:lvlText w:val="%1.%2.%3"/>
      <w:lvlJc w:val="left"/>
      <w:pPr>
        <w:ind w:left="720" w:hanging="720"/>
      </w:pPr>
      <w:rPr>
        <w:rFonts w:ascii="Arial Narrow" w:hAnsi="Arial Narrow" w:cs="Arial Narrow" w:hint="default"/>
        <w:b/>
        <w:sz w:val="26"/>
      </w:rPr>
    </w:lvl>
    <w:lvl w:ilvl="3">
      <w:start w:val="1"/>
      <w:numFmt w:val="decimal"/>
      <w:lvlText w:val="%1.%2.%3.%4"/>
      <w:lvlJc w:val="left"/>
      <w:pPr>
        <w:ind w:left="1080" w:hanging="1080"/>
      </w:pPr>
      <w:rPr>
        <w:rFonts w:ascii="Arial Narrow" w:hAnsi="Arial Narrow" w:cs="Arial Narrow" w:hint="default"/>
        <w:b/>
        <w:sz w:val="26"/>
      </w:rPr>
    </w:lvl>
    <w:lvl w:ilvl="4">
      <w:start w:val="1"/>
      <w:numFmt w:val="decimal"/>
      <w:lvlText w:val="%1.%2.%3.%4.%5"/>
      <w:lvlJc w:val="left"/>
      <w:pPr>
        <w:ind w:left="1080" w:hanging="1080"/>
      </w:pPr>
      <w:rPr>
        <w:rFonts w:ascii="Arial Narrow" w:hAnsi="Arial Narrow" w:cs="Arial Narrow" w:hint="default"/>
        <w:b/>
        <w:sz w:val="26"/>
      </w:rPr>
    </w:lvl>
    <w:lvl w:ilvl="5">
      <w:start w:val="1"/>
      <w:numFmt w:val="decimal"/>
      <w:lvlText w:val="%1.%2.%3.%4.%5.%6"/>
      <w:lvlJc w:val="left"/>
      <w:pPr>
        <w:ind w:left="1440" w:hanging="1440"/>
      </w:pPr>
      <w:rPr>
        <w:rFonts w:ascii="Arial Narrow" w:hAnsi="Arial Narrow" w:cs="Arial Narrow" w:hint="default"/>
        <w:b/>
        <w:sz w:val="26"/>
      </w:rPr>
    </w:lvl>
    <w:lvl w:ilvl="6">
      <w:start w:val="1"/>
      <w:numFmt w:val="decimal"/>
      <w:lvlText w:val="%1.%2.%3.%4.%5.%6.%7"/>
      <w:lvlJc w:val="left"/>
      <w:pPr>
        <w:ind w:left="1800" w:hanging="1800"/>
      </w:pPr>
      <w:rPr>
        <w:rFonts w:ascii="Arial Narrow" w:hAnsi="Arial Narrow" w:cs="Arial Narrow" w:hint="default"/>
        <w:b/>
        <w:sz w:val="26"/>
      </w:rPr>
    </w:lvl>
    <w:lvl w:ilvl="7">
      <w:start w:val="1"/>
      <w:numFmt w:val="decimal"/>
      <w:lvlText w:val="%1.%2.%3.%4.%5.%6.%7.%8"/>
      <w:lvlJc w:val="left"/>
      <w:pPr>
        <w:ind w:left="1800" w:hanging="1800"/>
      </w:pPr>
      <w:rPr>
        <w:rFonts w:ascii="Arial Narrow" w:hAnsi="Arial Narrow" w:cs="Arial Narrow" w:hint="default"/>
        <w:b/>
        <w:sz w:val="26"/>
      </w:rPr>
    </w:lvl>
    <w:lvl w:ilvl="8">
      <w:start w:val="1"/>
      <w:numFmt w:val="decimal"/>
      <w:lvlText w:val="%1.%2.%3.%4.%5.%6.%7.%8.%9"/>
      <w:lvlJc w:val="left"/>
      <w:pPr>
        <w:ind w:left="2160" w:hanging="2160"/>
      </w:pPr>
      <w:rPr>
        <w:rFonts w:ascii="Arial Narrow" w:hAnsi="Arial Narrow" w:cs="Arial Narrow" w:hint="default"/>
        <w:b/>
        <w:sz w:val="26"/>
      </w:rPr>
    </w:lvl>
  </w:abstractNum>
  <w:abstractNum w:abstractNumId="22" w15:restartNumberingAfterBreak="0">
    <w:nsid w:val="1C117232"/>
    <w:multiLevelType w:val="hybridMultilevel"/>
    <w:tmpl w:val="2ED610E8"/>
    <w:lvl w:ilvl="0" w:tplc="75909F14">
      <w:start w:val="1"/>
      <w:numFmt w:val="lowerLetter"/>
      <w:lvlText w:val="%1."/>
      <w:lvlJc w:val="left"/>
      <w:pPr>
        <w:ind w:left="720" w:hanging="360"/>
      </w:pPr>
      <w:rPr>
        <w:rFonts w:ascii="Arial Narrow" w:hAnsi="Arial Narrow" w:cs="Arial Narro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F12C5D"/>
    <w:multiLevelType w:val="hybridMultilevel"/>
    <w:tmpl w:val="D974C1C2"/>
    <w:lvl w:ilvl="0" w:tplc="AD6A2CD8">
      <w:start w:val="1"/>
      <w:numFmt w:val="lowerLetter"/>
      <w:lvlText w:val="%1."/>
      <w:lvlJc w:val="left"/>
      <w:pPr>
        <w:ind w:left="720" w:hanging="360"/>
      </w:pPr>
      <w:rPr>
        <w:rFonts w:ascii="Arial Narrow" w:hAnsi="Arial Narrow" w:cs="Arial Narro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42101"/>
    <w:multiLevelType w:val="hybridMultilevel"/>
    <w:tmpl w:val="772EA71C"/>
    <w:lvl w:ilvl="0" w:tplc="11BC99EC">
      <w:start w:val="1"/>
      <w:numFmt w:val="lowerLetter"/>
      <w:lvlText w:val="%1."/>
      <w:lvlJc w:val="left"/>
      <w:pPr>
        <w:ind w:left="720" w:hanging="360"/>
      </w:pPr>
      <w:rPr>
        <w:rFonts w:ascii="Arial Narrow" w:hAnsi="Arial Narrow" w:cs="Arial Narrow"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85691"/>
    <w:multiLevelType w:val="multilevel"/>
    <w:tmpl w:val="6972B104"/>
    <w:lvl w:ilvl="0">
      <w:start w:val="3"/>
      <w:numFmt w:val="decimal"/>
      <w:lvlText w:val="%1"/>
      <w:lvlJc w:val="left"/>
      <w:pPr>
        <w:ind w:left="360" w:hanging="360"/>
      </w:pPr>
      <w:rPr>
        <w:rFonts w:ascii="Arial Narrow" w:hAnsi="Arial Narrow" w:cs="Arial Narrow" w:hint="default"/>
        <w:b/>
        <w:sz w:val="26"/>
      </w:rPr>
    </w:lvl>
    <w:lvl w:ilvl="1">
      <w:start w:val="3"/>
      <w:numFmt w:val="decimal"/>
      <w:lvlText w:val="%1.%2"/>
      <w:lvlJc w:val="left"/>
      <w:pPr>
        <w:ind w:left="720" w:hanging="720"/>
      </w:pPr>
      <w:rPr>
        <w:rFonts w:ascii="Arial Narrow" w:hAnsi="Arial Narrow" w:cs="Arial Narrow" w:hint="default"/>
        <w:b/>
        <w:sz w:val="26"/>
      </w:rPr>
    </w:lvl>
    <w:lvl w:ilvl="2">
      <w:start w:val="1"/>
      <w:numFmt w:val="decimal"/>
      <w:lvlText w:val="%1.%2.%3"/>
      <w:lvlJc w:val="left"/>
      <w:pPr>
        <w:ind w:left="720" w:hanging="720"/>
      </w:pPr>
      <w:rPr>
        <w:rFonts w:ascii="Arial Narrow" w:hAnsi="Arial Narrow" w:cs="Arial Narrow" w:hint="default"/>
        <w:b/>
        <w:sz w:val="26"/>
      </w:rPr>
    </w:lvl>
    <w:lvl w:ilvl="3">
      <w:start w:val="1"/>
      <w:numFmt w:val="decimal"/>
      <w:lvlText w:val="%1.%2.%3.%4"/>
      <w:lvlJc w:val="left"/>
      <w:pPr>
        <w:ind w:left="1080" w:hanging="1080"/>
      </w:pPr>
      <w:rPr>
        <w:rFonts w:ascii="Arial Narrow" w:hAnsi="Arial Narrow" w:cs="Arial Narrow" w:hint="default"/>
        <w:b/>
        <w:sz w:val="26"/>
      </w:rPr>
    </w:lvl>
    <w:lvl w:ilvl="4">
      <w:start w:val="1"/>
      <w:numFmt w:val="decimal"/>
      <w:lvlText w:val="%1.%2.%3.%4.%5"/>
      <w:lvlJc w:val="left"/>
      <w:pPr>
        <w:ind w:left="1080" w:hanging="1080"/>
      </w:pPr>
      <w:rPr>
        <w:rFonts w:ascii="Arial Narrow" w:hAnsi="Arial Narrow" w:cs="Arial Narrow" w:hint="default"/>
        <w:b/>
        <w:sz w:val="26"/>
      </w:rPr>
    </w:lvl>
    <w:lvl w:ilvl="5">
      <w:start w:val="1"/>
      <w:numFmt w:val="decimal"/>
      <w:lvlText w:val="%1.%2.%3.%4.%5.%6"/>
      <w:lvlJc w:val="left"/>
      <w:pPr>
        <w:ind w:left="1440" w:hanging="1440"/>
      </w:pPr>
      <w:rPr>
        <w:rFonts w:ascii="Arial Narrow" w:hAnsi="Arial Narrow" w:cs="Arial Narrow" w:hint="default"/>
        <w:b/>
        <w:sz w:val="26"/>
      </w:rPr>
    </w:lvl>
    <w:lvl w:ilvl="6">
      <w:start w:val="1"/>
      <w:numFmt w:val="decimal"/>
      <w:lvlText w:val="%1.%2.%3.%4.%5.%6.%7"/>
      <w:lvlJc w:val="left"/>
      <w:pPr>
        <w:ind w:left="1800" w:hanging="1800"/>
      </w:pPr>
      <w:rPr>
        <w:rFonts w:ascii="Arial Narrow" w:hAnsi="Arial Narrow" w:cs="Arial Narrow" w:hint="default"/>
        <w:b/>
        <w:sz w:val="26"/>
      </w:rPr>
    </w:lvl>
    <w:lvl w:ilvl="7">
      <w:start w:val="1"/>
      <w:numFmt w:val="decimal"/>
      <w:lvlText w:val="%1.%2.%3.%4.%5.%6.%7.%8"/>
      <w:lvlJc w:val="left"/>
      <w:pPr>
        <w:ind w:left="1800" w:hanging="1800"/>
      </w:pPr>
      <w:rPr>
        <w:rFonts w:ascii="Arial Narrow" w:hAnsi="Arial Narrow" w:cs="Arial Narrow" w:hint="default"/>
        <w:b/>
        <w:sz w:val="26"/>
      </w:rPr>
    </w:lvl>
    <w:lvl w:ilvl="8">
      <w:start w:val="1"/>
      <w:numFmt w:val="decimal"/>
      <w:lvlText w:val="%1.%2.%3.%4.%5.%6.%7.%8.%9"/>
      <w:lvlJc w:val="left"/>
      <w:pPr>
        <w:ind w:left="2160" w:hanging="2160"/>
      </w:pPr>
      <w:rPr>
        <w:rFonts w:ascii="Arial Narrow" w:hAnsi="Arial Narrow" w:cs="Arial Narrow" w:hint="default"/>
        <w:b/>
        <w:sz w:val="26"/>
      </w:rPr>
    </w:lvl>
  </w:abstractNum>
  <w:abstractNum w:abstractNumId="26" w15:restartNumberingAfterBreak="0">
    <w:nsid w:val="3E295E07"/>
    <w:multiLevelType w:val="hybridMultilevel"/>
    <w:tmpl w:val="591E45AA"/>
    <w:lvl w:ilvl="0" w:tplc="D73CA332">
      <w:start w:val="1"/>
      <w:numFmt w:val="lowerLetter"/>
      <w:lvlText w:val="%1."/>
      <w:lvlJc w:val="left"/>
      <w:pPr>
        <w:ind w:left="720" w:hanging="360"/>
      </w:pPr>
      <w:rPr>
        <w:rFonts w:ascii="Arial Narrow" w:hAnsi="Arial Narrow" w:cs="Arial Narro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649A0"/>
    <w:multiLevelType w:val="multilevel"/>
    <w:tmpl w:val="A79CA48C"/>
    <w:lvl w:ilvl="0">
      <w:start w:val="1"/>
      <w:numFmt w:val="decimal"/>
      <w:lvlText w:val="%1"/>
      <w:lvlJc w:val="left"/>
      <w:pPr>
        <w:ind w:left="360" w:hanging="360"/>
      </w:pPr>
      <w:rPr>
        <w:rFonts w:ascii="Arial Narrow" w:hAnsi="Arial Narrow" w:cs="Arial Narrow" w:hint="default"/>
        <w:b/>
        <w:sz w:val="26"/>
      </w:rPr>
    </w:lvl>
    <w:lvl w:ilvl="1">
      <w:start w:val="1"/>
      <w:numFmt w:val="decimal"/>
      <w:lvlText w:val="%1.%2"/>
      <w:lvlJc w:val="left"/>
      <w:pPr>
        <w:ind w:left="720" w:hanging="720"/>
      </w:pPr>
      <w:rPr>
        <w:rFonts w:ascii="Arial Narrow" w:hAnsi="Arial Narrow" w:cs="Arial Narrow" w:hint="default"/>
        <w:b/>
        <w:sz w:val="26"/>
      </w:rPr>
    </w:lvl>
    <w:lvl w:ilvl="2">
      <w:start w:val="1"/>
      <w:numFmt w:val="decimal"/>
      <w:lvlText w:val="%1.%2.%3"/>
      <w:lvlJc w:val="left"/>
      <w:pPr>
        <w:ind w:left="720" w:hanging="720"/>
      </w:pPr>
      <w:rPr>
        <w:rFonts w:ascii="Arial Narrow" w:hAnsi="Arial Narrow" w:cs="Arial Narrow" w:hint="default"/>
        <w:b/>
        <w:sz w:val="26"/>
      </w:rPr>
    </w:lvl>
    <w:lvl w:ilvl="3">
      <w:start w:val="1"/>
      <w:numFmt w:val="decimal"/>
      <w:lvlText w:val="%1.%2.%3.%4"/>
      <w:lvlJc w:val="left"/>
      <w:pPr>
        <w:ind w:left="1080" w:hanging="1080"/>
      </w:pPr>
      <w:rPr>
        <w:rFonts w:ascii="Arial Narrow" w:hAnsi="Arial Narrow" w:cs="Arial Narrow" w:hint="default"/>
        <w:b/>
        <w:sz w:val="26"/>
      </w:rPr>
    </w:lvl>
    <w:lvl w:ilvl="4">
      <w:start w:val="1"/>
      <w:numFmt w:val="decimal"/>
      <w:lvlText w:val="%1.%2.%3.%4.%5"/>
      <w:lvlJc w:val="left"/>
      <w:pPr>
        <w:ind w:left="1080" w:hanging="1080"/>
      </w:pPr>
      <w:rPr>
        <w:rFonts w:ascii="Arial Narrow" w:hAnsi="Arial Narrow" w:cs="Arial Narrow" w:hint="default"/>
        <w:b/>
        <w:sz w:val="26"/>
      </w:rPr>
    </w:lvl>
    <w:lvl w:ilvl="5">
      <w:start w:val="1"/>
      <w:numFmt w:val="decimal"/>
      <w:lvlText w:val="%1.%2.%3.%4.%5.%6"/>
      <w:lvlJc w:val="left"/>
      <w:pPr>
        <w:ind w:left="1440" w:hanging="1440"/>
      </w:pPr>
      <w:rPr>
        <w:rFonts w:ascii="Arial Narrow" w:hAnsi="Arial Narrow" w:cs="Arial Narrow" w:hint="default"/>
        <w:b/>
        <w:sz w:val="26"/>
      </w:rPr>
    </w:lvl>
    <w:lvl w:ilvl="6">
      <w:start w:val="1"/>
      <w:numFmt w:val="decimal"/>
      <w:lvlText w:val="%1.%2.%3.%4.%5.%6.%7"/>
      <w:lvlJc w:val="left"/>
      <w:pPr>
        <w:ind w:left="1800" w:hanging="1800"/>
      </w:pPr>
      <w:rPr>
        <w:rFonts w:ascii="Arial Narrow" w:hAnsi="Arial Narrow" w:cs="Arial Narrow" w:hint="default"/>
        <w:b/>
        <w:sz w:val="26"/>
      </w:rPr>
    </w:lvl>
    <w:lvl w:ilvl="7">
      <w:start w:val="1"/>
      <w:numFmt w:val="decimal"/>
      <w:lvlText w:val="%1.%2.%3.%4.%5.%6.%7.%8"/>
      <w:lvlJc w:val="left"/>
      <w:pPr>
        <w:ind w:left="1800" w:hanging="1800"/>
      </w:pPr>
      <w:rPr>
        <w:rFonts w:ascii="Arial Narrow" w:hAnsi="Arial Narrow" w:cs="Arial Narrow" w:hint="default"/>
        <w:b/>
        <w:sz w:val="26"/>
      </w:rPr>
    </w:lvl>
    <w:lvl w:ilvl="8">
      <w:start w:val="1"/>
      <w:numFmt w:val="decimal"/>
      <w:lvlText w:val="%1.%2.%3.%4.%5.%6.%7.%8.%9"/>
      <w:lvlJc w:val="left"/>
      <w:pPr>
        <w:ind w:left="2160" w:hanging="2160"/>
      </w:pPr>
      <w:rPr>
        <w:rFonts w:ascii="Arial Narrow" w:hAnsi="Arial Narrow" w:cs="Arial Narrow" w:hint="default"/>
        <w:b/>
        <w:sz w:val="26"/>
      </w:rPr>
    </w:lvl>
  </w:abstractNum>
  <w:abstractNum w:abstractNumId="28" w15:restartNumberingAfterBreak="0">
    <w:nsid w:val="53FD5B2D"/>
    <w:multiLevelType w:val="hybridMultilevel"/>
    <w:tmpl w:val="C0840F9E"/>
    <w:lvl w:ilvl="0" w:tplc="C49C0DFC">
      <w:start w:val="1"/>
      <w:numFmt w:val="lowerLetter"/>
      <w:lvlText w:val="%1."/>
      <w:lvlJc w:val="left"/>
      <w:pPr>
        <w:ind w:left="720" w:hanging="360"/>
      </w:pPr>
      <w:rPr>
        <w:rFonts w:ascii="Arial Narrow" w:hAnsi="Arial Narrow" w:cs="Arial Narro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336F3"/>
    <w:multiLevelType w:val="hybridMultilevel"/>
    <w:tmpl w:val="79063D78"/>
    <w:lvl w:ilvl="0" w:tplc="3184ECAE">
      <w:start w:val="1"/>
      <w:numFmt w:val="lowerLetter"/>
      <w:lvlText w:val="%1."/>
      <w:lvlJc w:val="left"/>
      <w:pPr>
        <w:ind w:left="720" w:hanging="360"/>
      </w:pPr>
      <w:rPr>
        <w:rFonts w:ascii="Arial Narrow" w:hAnsi="Arial Narrow" w:cs="Arial Narro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B3FE8"/>
    <w:multiLevelType w:val="multilevel"/>
    <w:tmpl w:val="A5AEB69E"/>
    <w:lvl w:ilvl="0">
      <w:start w:val="3"/>
      <w:numFmt w:val="decimal"/>
      <w:lvlText w:val="%1"/>
      <w:lvlJc w:val="left"/>
      <w:pPr>
        <w:ind w:left="360" w:hanging="360"/>
      </w:pPr>
      <w:rPr>
        <w:rFonts w:ascii="Arial Narrow" w:hAnsi="Arial Narrow" w:cs="Arial Narrow" w:hint="default"/>
        <w:b/>
        <w:sz w:val="26"/>
      </w:rPr>
    </w:lvl>
    <w:lvl w:ilvl="1">
      <w:start w:val="1"/>
      <w:numFmt w:val="bullet"/>
      <w:lvlText w:val=""/>
      <w:lvlJc w:val="left"/>
      <w:pPr>
        <w:ind w:left="360" w:hanging="360"/>
      </w:pPr>
      <w:rPr>
        <w:rFonts w:ascii="Symbol" w:hAnsi="Symbol" w:hint="default"/>
        <w:b/>
        <w:sz w:val="26"/>
      </w:rPr>
    </w:lvl>
    <w:lvl w:ilvl="2">
      <w:start w:val="1"/>
      <w:numFmt w:val="decimal"/>
      <w:lvlText w:val="%1.%2.%3"/>
      <w:lvlJc w:val="left"/>
      <w:pPr>
        <w:ind w:left="720" w:hanging="720"/>
      </w:pPr>
      <w:rPr>
        <w:rFonts w:ascii="Arial Narrow" w:hAnsi="Arial Narrow" w:cs="Arial Narrow" w:hint="default"/>
        <w:b/>
        <w:sz w:val="26"/>
      </w:rPr>
    </w:lvl>
    <w:lvl w:ilvl="3">
      <w:start w:val="1"/>
      <w:numFmt w:val="decimal"/>
      <w:lvlText w:val="%1.%2.%3.%4"/>
      <w:lvlJc w:val="left"/>
      <w:pPr>
        <w:ind w:left="1080" w:hanging="1080"/>
      </w:pPr>
      <w:rPr>
        <w:rFonts w:ascii="Arial Narrow" w:hAnsi="Arial Narrow" w:cs="Arial Narrow" w:hint="default"/>
        <w:b/>
        <w:sz w:val="26"/>
      </w:rPr>
    </w:lvl>
    <w:lvl w:ilvl="4">
      <w:start w:val="1"/>
      <w:numFmt w:val="decimal"/>
      <w:lvlText w:val="%1.%2.%3.%4.%5"/>
      <w:lvlJc w:val="left"/>
      <w:pPr>
        <w:ind w:left="1080" w:hanging="1080"/>
      </w:pPr>
      <w:rPr>
        <w:rFonts w:ascii="Arial Narrow" w:hAnsi="Arial Narrow" w:cs="Arial Narrow" w:hint="default"/>
        <w:b/>
        <w:sz w:val="26"/>
      </w:rPr>
    </w:lvl>
    <w:lvl w:ilvl="5">
      <w:start w:val="1"/>
      <w:numFmt w:val="decimal"/>
      <w:lvlText w:val="%1.%2.%3.%4.%5.%6"/>
      <w:lvlJc w:val="left"/>
      <w:pPr>
        <w:ind w:left="1440" w:hanging="1440"/>
      </w:pPr>
      <w:rPr>
        <w:rFonts w:ascii="Arial Narrow" w:hAnsi="Arial Narrow" w:cs="Arial Narrow" w:hint="default"/>
        <w:b/>
        <w:sz w:val="26"/>
      </w:rPr>
    </w:lvl>
    <w:lvl w:ilvl="6">
      <w:start w:val="1"/>
      <w:numFmt w:val="decimal"/>
      <w:lvlText w:val="%1.%2.%3.%4.%5.%6.%7"/>
      <w:lvlJc w:val="left"/>
      <w:pPr>
        <w:ind w:left="1800" w:hanging="1800"/>
      </w:pPr>
      <w:rPr>
        <w:rFonts w:ascii="Arial Narrow" w:hAnsi="Arial Narrow" w:cs="Arial Narrow" w:hint="default"/>
        <w:b/>
        <w:sz w:val="26"/>
      </w:rPr>
    </w:lvl>
    <w:lvl w:ilvl="7">
      <w:start w:val="1"/>
      <w:numFmt w:val="decimal"/>
      <w:lvlText w:val="%1.%2.%3.%4.%5.%6.%7.%8"/>
      <w:lvlJc w:val="left"/>
      <w:pPr>
        <w:ind w:left="1800" w:hanging="1800"/>
      </w:pPr>
      <w:rPr>
        <w:rFonts w:ascii="Arial Narrow" w:hAnsi="Arial Narrow" w:cs="Arial Narrow" w:hint="default"/>
        <w:b/>
        <w:sz w:val="26"/>
      </w:rPr>
    </w:lvl>
    <w:lvl w:ilvl="8">
      <w:start w:val="1"/>
      <w:numFmt w:val="decimal"/>
      <w:lvlText w:val="%1.%2.%3.%4.%5.%6.%7.%8.%9"/>
      <w:lvlJc w:val="left"/>
      <w:pPr>
        <w:ind w:left="2160" w:hanging="2160"/>
      </w:pPr>
      <w:rPr>
        <w:rFonts w:ascii="Arial Narrow" w:hAnsi="Arial Narrow" w:cs="Arial Narrow" w:hint="default"/>
        <w:b/>
        <w:sz w:val="26"/>
      </w:rPr>
    </w:lvl>
  </w:abstractNum>
  <w:abstractNum w:abstractNumId="31" w15:restartNumberingAfterBreak="0">
    <w:nsid w:val="60DE6EB8"/>
    <w:multiLevelType w:val="hybridMultilevel"/>
    <w:tmpl w:val="5D46DA24"/>
    <w:lvl w:ilvl="0" w:tplc="4CACF436">
      <w:start w:val="1"/>
      <w:numFmt w:val="lowerLetter"/>
      <w:lvlText w:val="%1."/>
      <w:lvlJc w:val="left"/>
      <w:pPr>
        <w:ind w:left="720" w:hanging="360"/>
      </w:pPr>
      <w:rPr>
        <w:rFonts w:ascii="Arial Narrow" w:hAnsi="Arial Narrow" w:cs="Arial Narro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B7A3E"/>
    <w:multiLevelType w:val="hybridMultilevel"/>
    <w:tmpl w:val="84145C06"/>
    <w:lvl w:ilvl="0" w:tplc="40648BE0">
      <w:start w:val="1"/>
      <w:numFmt w:val="lowerLetter"/>
      <w:lvlText w:val="%1."/>
      <w:lvlJc w:val="left"/>
      <w:pPr>
        <w:ind w:left="720" w:hanging="360"/>
      </w:pPr>
      <w:rPr>
        <w:rFonts w:ascii="Arial Narrow" w:hAnsi="Arial Narrow" w:cs="Arial Narro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7"/>
  </w:num>
  <w:num w:numId="22">
    <w:abstractNumId w:val="24"/>
  </w:num>
  <w:num w:numId="23">
    <w:abstractNumId w:val="21"/>
  </w:num>
  <w:num w:numId="24">
    <w:abstractNumId w:val="28"/>
  </w:num>
  <w:num w:numId="25">
    <w:abstractNumId w:val="32"/>
  </w:num>
  <w:num w:numId="26">
    <w:abstractNumId w:val="22"/>
  </w:num>
  <w:num w:numId="27">
    <w:abstractNumId w:val="30"/>
  </w:num>
  <w:num w:numId="28">
    <w:abstractNumId w:val="29"/>
  </w:num>
  <w:num w:numId="29">
    <w:abstractNumId w:val="26"/>
  </w:num>
  <w:num w:numId="30">
    <w:abstractNumId w:val="25"/>
  </w:num>
  <w:num w:numId="31">
    <w:abstractNumId w:val="23"/>
  </w:num>
  <w:num w:numId="32">
    <w:abstractNumId w:val="3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4D"/>
    <w:rsid w:val="000638D2"/>
    <w:rsid w:val="00083D21"/>
    <w:rsid w:val="00091B50"/>
    <w:rsid w:val="00093ECB"/>
    <w:rsid w:val="000A3BC3"/>
    <w:rsid w:val="000D0CB8"/>
    <w:rsid w:val="000E0633"/>
    <w:rsid w:val="000F48BC"/>
    <w:rsid w:val="00157E57"/>
    <w:rsid w:val="001B01CA"/>
    <w:rsid w:val="001D3BBC"/>
    <w:rsid w:val="001F3124"/>
    <w:rsid w:val="0025059D"/>
    <w:rsid w:val="002517B6"/>
    <w:rsid w:val="002767C2"/>
    <w:rsid w:val="00297120"/>
    <w:rsid w:val="002A5FB6"/>
    <w:rsid w:val="002E6FA7"/>
    <w:rsid w:val="0033596E"/>
    <w:rsid w:val="00352CDA"/>
    <w:rsid w:val="003808ED"/>
    <w:rsid w:val="003A414D"/>
    <w:rsid w:val="003F6A4F"/>
    <w:rsid w:val="00402F33"/>
    <w:rsid w:val="0042614A"/>
    <w:rsid w:val="004418A4"/>
    <w:rsid w:val="004714AF"/>
    <w:rsid w:val="005A31F1"/>
    <w:rsid w:val="005B3540"/>
    <w:rsid w:val="005B4012"/>
    <w:rsid w:val="005D384A"/>
    <w:rsid w:val="005D551F"/>
    <w:rsid w:val="005E567F"/>
    <w:rsid w:val="00601645"/>
    <w:rsid w:val="00646D2F"/>
    <w:rsid w:val="0067173D"/>
    <w:rsid w:val="00672065"/>
    <w:rsid w:val="00675B1F"/>
    <w:rsid w:val="00680B29"/>
    <w:rsid w:val="00682C7A"/>
    <w:rsid w:val="006A5F51"/>
    <w:rsid w:val="006B5018"/>
    <w:rsid w:val="00707ED9"/>
    <w:rsid w:val="00735848"/>
    <w:rsid w:val="007502B5"/>
    <w:rsid w:val="007818C7"/>
    <w:rsid w:val="00785306"/>
    <w:rsid w:val="007D78EA"/>
    <w:rsid w:val="007E2C7F"/>
    <w:rsid w:val="00801F7A"/>
    <w:rsid w:val="008122C4"/>
    <w:rsid w:val="0084651C"/>
    <w:rsid w:val="008643E4"/>
    <w:rsid w:val="0089108E"/>
    <w:rsid w:val="008C3338"/>
    <w:rsid w:val="008D3759"/>
    <w:rsid w:val="008E0B33"/>
    <w:rsid w:val="008E1EC4"/>
    <w:rsid w:val="00907931"/>
    <w:rsid w:val="0091643E"/>
    <w:rsid w:val="00940794"/>
    <w:rsid w:val="009A6FDE"/>
    <w:rsid w:val="009F2490"/>
    <w:rsid w:val="00A271F9"/>
    <w:rsid w:val="00A6171D"/>
    <w:rsid w:val="00A66F9B"/>
    <w:rsid w:val="00A808AE"/>
    <w:rsid w:val="00AD59F9"/>
    <w:rsid w:val="00BA0F10"/>
    <w:rsid w:val="00BA5D2E"/>
    <w:rsid w:val="00BE3239"/>
    <w:rsid w:val="00BE3661"/>
    <w:rsid w:val="00C06586"/>
    <w:rsid w:val="00C17A30"/>
    <w:rsid w:val="00C233F4"/>
    <w:rsid w:val="00C5196A"/>
    <w:rsid w:val="00C550AE"/>
    <w:rsid w:val="00CA5D0F"/>
    <w:rsid w:val="00CC4921"/>
    <w:rsid w:val="00CD308E"/>
    <w:rsid w:val="00CF284E"/>
    <w:rsid w:val="00CF2CF7"/>
    <w:rsid w:val="00D974A2"/>
    <w:rsid w:val="00DA7095"/>
    <w:rsid w:val="00DB7B6C"/>
    <w:rsid w:val="00DE6FBD"/>
    <w:rsid w:val="00E120B6"/>
    <w:rsid w:val="00E35926"/>
    <w:rsid w:val="00EC284D"/>
    <w:rsid w:val="00ED1E73"/>
    <w:rsid w:val="00ED4525"/>
    <w:rsid w:val="00F37A09"/>
    <w:rsid w:val="00F77889"/>
    <w:rsid w:val="00F81779"/>
    <w:rsid w:val="00F95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3C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obalpartnership.org/useful-resources-for-gpe-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2356</Words>
  <Characters>12370</Characters>
  <Application>Microsoft Office Word</Application>
  <DocSecurity>0</DocSecurity>
  <Lines>274</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Martinez</dc:creator>
  <cp:keywords/>
  <dc:description/>
  <cp:lastModifiedBy>Chantal Rigaud</cp:lastModifiedBy>
  <cp:revision>2</cp:revision>
  <dcterms:created xsi:type="dcterms:W3CDTF">2018-03-02T20:47:00Z</dcterms:created>
  <dcterms:modified xsi:type="dcterms:W3CDTF">2018-03-02T20:47:00Z</dcterms:modified>
</cp:coreProperties>
</file>