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4E78" w14:textId="77777777" w:rsidR="00DC71BB" w:rsidRDefault="00DC71BB" w:rsidP="00DC71BB">
      <w:pPr>
        <w:pStyle w:val="H10"/>
        <w:spacing w:before="0" w:after="0" w:line="240" w:lineRule="auto"/>
        <w:ind w:left="450" w:right="900"/>
        <w:rPr>
          <w:color w:val="6E3B96"/>
          <w:sz w:val="10"/>
          <w:szCs w:val="10"/>
        </w:rPr>
      </w:pPr>
      <w:bookmarkStart w:id="0" w:name="_Hlk531345032"/>
      <w:bookmarkStart w:id="1" w:name="_GoBack"/>
      <w:bookmarkEnd w:id="1"/>
    </w:p>
    <w:p w14:paraId="5C220D9D" w14:textId="77777777" w:rsidR="00DC71BB" w:rsidRPr="0038559F" w:rsidRDefault="00DC71BB" w:rsidP="00DC71BB">
      <w:pPr>
        <w:pStyle w:val="H10"/>
        <w:pBdr>
          <w:top w:val="dashed" w:sz="8" w:space="1" w:color="7030A0"/>
          <w:left w:val="dashed" w:sz="8" w:space="4" w:color="7030A0"/>
          <w:bottom w:val="dashed" w:sz="8" w:space="1" w:color="7030A0"/>
          <w:right w:val="dashed" w:sz="8" w:space="31" w:color="7030A0"/>
        </w:pBdr>
        <w:spacing w:before="0" w:after="0" w:line="240" w:lineRule="auto"/>
        <w:ind w:left="450" w:right="900"/>
        <w:rPr>
          <w:rFonts w:ascii="Swift LT Std" w:hAnsi="Swift LT Std" w:cs="Swift LT Std"/>
          <w:color w:val="221E1F"/>
          <w:sz w:val="6"/>
          <w:szCs w:val="6"/>
          <w:lang w:val="fr-FR"/>
        </w:rPr>
      </w:pPr>
    </w:p>
    <w:p w14:paraId="21711D79" w14:textId="77777777" w:rsidR="00DC71BB" w:rsidRPr="0038559F" w:rsidRDefault="00DC71BB" w:rsidP="00DC71BB">
      <w:pPr>
        <w:pStyle w:val="H10"/>
        <w:pBdr>
          <w:top w:val="dashed" w:sz="8" w:space="1" w:color="7030A0"/>
          <w:left w:val="dashed" w:sz="8" w:space="4" w:color="7030A0"/>
          <w:bottom w:val="dashed" w:sz="8" w:space="1" w:color="7030A0"/>
          <w:right w:val="dashed" w:sz="8" w:space="31" w:color="7030A0"/>
        </w:pBdr>
        <w:spacing w:before="0" w:after="0" w:line="240" w:lineRule="auto"/>
        <w:ind w:left="450" w:right="900"/>
        <w:rPr>
          <w:rFonts w:ascii="Swift LT Std Light" w:hAnsi="Swift LT Std Light" w:cs="Swift LT Std Light"/>
          <w:b w:val="0"/>
          <w:color w:val="221E1F"/>
          <w:sz w:val="21"/>
          <w:szCs w:val="21"/>
          <w:lang w:val="fr-FR"/>
        </w:rPr>
      </w:pPr>
      <w:r w:rsidRPr="0038559F">
        <w:rPr>
          <w:rFonts w:ascii="Swift LT Std" w:hAnsi="Swift LT Std" w:cs="Swift LT Std"/>
          <w:color w:val="221E1F"/>
          <w:sz w:val="21"/>
          <w:szCs w:val="21"/>
          <w:lang w:val="fr-FR"/>
        </w:rPr>
        <w:t>Note pour l’utilisateur :</w:t>
      </w:r>
      <w:r w:rsidRPr="0038559F">
        <w:rPr>
          <w:rFonts w:ascii="Swift LT Std Light" w:hAnsi="Swift LT Std Light" w:cs="Swift LT Std Light"/>
          <w:b w:val="0"/>
          <w:color w:val="221E1F"/>
          <w:sz w:val="21"/>
          <w:szCs w:val="21"/>
          <w:lang w:val="fr-FR"/>
        </w:rPr>
        <w:t xml:space="preserve"> </w:t>
      </w:r>
    </w:p>
    <w:p w14:paraId="0B8471D8" w14:textId="77777777" w:rsidR="00DC71BB" w:rsidRPr="0038559F" w:rsidRDefault="00DC71BB" w:rsidP="00DC71BB">
      <w:pPr>
        <w:pStyle w:val="H10"/>
        <w:pBdr>
          <w:top w:val="dashed" w:sz="8" w:space="1" w:color="7030A0"/>
          <w:left w:val="dashed" w:sz="8" w:space="4" w:color="7030A0"/>
          <w:bottom w:val="dashed" w:sz="8" w:space="1" w:color="7030A0"/>
          <w:right w:val="dashed" w:sz="8" w:space="31" w:color="7030A0"/>
        </w:pBdr>
        <w:spacing w:before="0" w:after="0" w:line="240" w:lineRule="auto"/>
        <w:ind w:left="450" w:right="900"/>
        <w:rPr>
          <w:rFonts w:ascii="Swift LT Std Light" w:hAnsi="Swift LT Std Light" w:cs="Swift LT Std Light"/>
          <w:b w:val="0"/>
          <w:color w:val="221E1F"/>
          <w:sz w:val="10"/>
          <w:szCs w:val="10"/>
          <w:lang w:val="fr-FR"/>
        </w:rPr>
      </w:pPr>
    </w:p>
    <w:p w14:paraId="7310187F" w14:textId="275975AD" w:rsidR="00DC71BB" w:rsidRDefault="00DC71BB" w:rsidP="00DC71BB">
      <w:pPr>
        <w:pStyle w:val="H10"/>
        <w:pBdr>
          <w:top w:val="dashed" w:sz="8" w:space="1" w:color="7030A0"/>
          <w:left w:val="dashed" w:sz="8" w:space="4" w:color="7030A0"/>
          <w:bottom w:val="dashed" w:sz="8" w:space="1" w:color="7030A0"/>
          <w:right w:val="dashed" w:sz="8" w:space="31" w:color="7030A0"/>
        </w:pBdr>
        <w:spacing w:before="0" w:after="0" w:line="240" w:lineRule="auto"/>
        <w:ind w:left="450" w:right="900"/>
        <w:rPr>
          <w:rFonts w:ascii="Swift LT Std Light" w:hAnsi="Swift LT Std Light" w:cs="Swift LT Std Light"/>
          <w:b w:val="0"/>
          <w:color w:val="221E1F"/>
          <w:sz w:val="18"/>
          <w:szCs w:val="18"/>
          <w:lang w:val="fr-FR"/>
        </w:rPr>
      </w:pPr>
      <w:r w:rsidRPr="0038559F">
        <w:rPr>
          <w:rFonts w:ascii="Swift LT Std Light" w:hAnsi="Swift LT Std Light" w:cs="Swift LT Std Light"/>
          <w:b w:val="0"/>
          <w:color w:val="221E1F"/>
          <w:sz w:val="18"/>
          <w:szCs w:val="18"/>
          <w:lang w:val="fr-FR"/>
        </w:rPr>
        <w:t xml:space="preserve">Il est recommandé de lire le guide -  </w:t>
      </w:r>
      <w:r w:rsidRPr="0038559F">
        <w:rPr>
          <w:rFonts w:ascii="Swift LT Std Light" w:hAnsi="Swift LT Std Light" w:cs="Swift LT Std Light"/>
          <w:b w:val="0"/>
          <w:i/>
          <w:color w:val="221E1F"/>
          <w:sz w:val="18"/>
          <w:szCs w:val="18"/>
          <w:lang w:val="fr-FR"/>
        </w:rPr>
        <w:t>Les revues sectorielles conjointes dans le secteur de l'éducation - Guide pratique pour l'organisation de revues efficaces</w:t>
      </w:r>
      <w:r>
        <w:rPr>
          <w:rStyle w:val="FootnoteReference"/>
          <w:rFonts w:ascii="Swift LT Std Light" w:hAnsi="Swift LT Std Light" w:cs="Swift LT Std Light"/>
          <w:b w:val="0"/>
          <w:i/>
          <w:color w:val="221E1F"/>
          <w:sz w:val="18"/>
          <w:szCs w:val="18"/>
          <w:lang w:val="fr-FR"/>
        </w:rPr>
        <w:footnoteReference w:id="1"/>
      </w:r>
      <w:r w:rsidRPr="0038559F">
        <w:rPr>
          <w:rFonts w:ascii="Swift LT Std Light" w:hAnsi="Swift LT Std Light" w:cs="Swift LT Std Light"/>
          <w:b w:val="0"/>
          <w:i/>
          <w:color w:val="221E1F"/>
          <w:sz w:val="18"/>
          <w:szCs w:val="18"/>
          <w:lang w:val="fr-FR"/>
        </w:rPr>
        <w:t xml:space="preserve"> </w:t>
      </w:r>
      <w:r w:rsidRPr="0038559F">
        <w:rPr>
          <w:rFonts w:ascii="Swift LT Std Light" w:hAnsi="Swift LT Std Light" w:cs="Swift LT Std Light"/>
          <w:b w:val="0"/>
          <w:color w:val="221E1F"/>
          <w:sz w:val="18"/>
          <w:szCs w:val="18"/>
          <w:lang w:val="fr-FR"/>
        </w:rPr>
        <w:t xml:space="preserve">- comme introduction générale avant d'utiliser cet outil, notamment chapitre 2 qui présente le cadre d'efficacité.  </w:t>
      </w:r>
    </w:p>
    <w:p w14:paraId="2E04406C" w14:textId="77777777" w:rsidR="00DC71BB" w:rsidRPr="00DC71BB" w:rsidRDefault="00DC71BB" w:rsidP="00DC71BB">
      <w:pPr>
        <w:pStyle w:val="H10"/>
        <w:pBdr>
          <w:top w:val="dashed" w:sz="8" w:space="1" w:color="7030A0"/>
          <w:left w:val="dashed" w:sz="8" w:space="4" w:color="7030A0"/>
          <w:bottom w:val="dashed" w:sz="8" w:space="1" w:color="7030A0"/>
          <w:right w:val="dashed" w:sz="8" w:space="31" w:color="7030A0"/>
        </w:pBdr>
        <w:spacing w:before="0" w:after="0" w:line="240" w:lineRule="auto"/>
        <w:ind w:left="450" w:right="900"/>
        <w:rPr>
          <w:rFonts w:ascii="Swift LT Std Light" w:hAnsi="Swift LT Std Light" w:cs="Swift LT Std Light"/>
          <w:b w:val="0"/>
          <w:color w:val="221E1F"/>
          <w:sz w:val="8"/>
          <w:szCs w:val="8"/>
          <w:lang w:val="fr-FR"/>
        </w:rPr>
      </w:pPr>
    </w:p>
    <w:p w14:paraId="4B88C6B5" w14:textId="77777777" w:rsidR="00DC71BB" w:rsidRPr="0038559F" w:rsidRDefault="00DC71BB" w:rsidP="00DC71BB">
      <w:pPr>
        <w:pStyle w:val="H10"/>
        <w:pBdr>
          <w:top w:val="dashed" w:sz="8" w:space="1" w:color="7030A0"/>
          <w:left w:val="dashed" w:sz="8" w:space="4" w:color="7030A0"/>
          <w:bottom w:val="dashed" w:sz="8" w:space="1" w:color="7030A0"/>
          <w:right w:val="dashed" w:sz="8" w:space="31" w:color="7030A0"/>
        </w:pBdr>
        <w:spacing w:before="0" w:after="0" w:line="240" w:lineRule="auto"/>
        <w:ind w:left="450" w:right="900"/>
        <w:rPr>
          <w:rFonts w:ascii="Swift LT Std Light" w:hAnsi="Swift LT Std Light" w:cs="Swift LT Std Light"/>
          <w:b w:val="0"/>
          <w:color w:val="221E1F"/>
          <w:sz w:val="6"/>
          <w:szCs w:val="6"/>
          <w:lang w:val="fr-FR"/>
        </w:rPr>
      </w:pPr>
    </w:p>
    <w:p w14:paraId="593BF049" w14:textId="77777777" w:rsidR="00DC71BB" w:rsidRPr="0038559F" w:rsidRDefault="00DC71BB" w:rsidP="00DC71BB">
      <w:pPr>
        <w:pStyle w:val="H10"/>
        <w:spacing w:before="0" w:after="0" w:line="240" w:lineRule="auto"/>
        <w:ind w:left="450" w:right="900"/>
        <w:rPr>
          <w:color w:val="6E3B96"/>
          <w:sz w:val="10"/>
          <w:szCs w:val="10"/>
          <w:lang w:val="fr-FR"/>
        </w:rPr>
      </w:pPr>
    </w:p>
    <w:bookmarkEnd w:id="0"/>
    <w:p w14:paraId="6B7DF4E3" w14:textId="77777777" w:rsidR="00DC71BB" w:rsidRDefault="00DC71BB" w:rsidP="00DC71BB">
      <w:pPr>
        <w:pStyle w:val="H1"/>
        <w:spacing w:before="0" w:after="0" w:line="240" w:lineRule="auto"/>
        <w:rPr>
          <w:color w:val="6E3B96"/>
          <w:sz w:val="10"/>
          <w:szCs w:val="10"/>
        </w:rPr>
      </w:pPr>
    </w:p>
    <w:p w14:paraId="0EB80D10" w14:textId="55621A0D" w:rsidR="00BC0601" w:rsidRDefault="00BC0601" w:rsidP="00DC71BB">
      <w:pPr>
        <w:pStyle w:val="H1"/>
        <w:ind w:left="360"/>
        <w:rPr>
          <w:color w:val="6E3B96"/>
        </w:rPr>
      </w:pPr>
      <w:r>
        <w:rPr>
          <w:color w:val="6E3B96"/>
        </w:rPr>
        <w:t>Outil d’auto-évaluation</w:t>
      </w:r>
    </w:p>
    <w:p w14:paraId="45D9CACC" w14:textId="77777777" w:rsidR="00BC0601" w:rsidRDefault="00BC0601" w:rsidP="00DC71BB">
      <w:pPr>
        <w:pStyle w:val="PurpleCHAPBM"/>
        <w:ind w:left="360"/>
      </w:pPr>
      <w:r>
        <w:t xml:space="preserve">L’outil d’auto-évaluation peut servir à la fois à préparer la revue sectorielle conjointe et à mesurer l’efficacité d’une revue à posteriori. Les organisateurs peuvent donc trouver un double intérêt à l’utiliser pour définir un programme d’amélioration et convenir des actions à mener en vue d’améliorer le mode d’organisation de la revue. </w:t>
      </w:r>
    </w:p>
    <w:p w14:paraId="4F45BF7D" w14:textId="77777777" w:rsidR="00BC0601" w:rsidRDefault="00BC0601" w:rsidP="00DC71BB">
      <w:pPr>
        <w:pStyle w:val="H2"/>
        <w:ind w:left="360"/>
        <w:rPr>
          <w:color w:val="6E3B96"/>
        </w:rPr>
      </w:pPr>
      <w:r>
        <w:rPr>
          <w:color w:val="6E3B96"/>
        </w:rPr>
        <w:t xml:space="preserve">Quand et comment utiliser l’outil d’auto-évaluation de la revue </w:t>
      </w:r>
    </w:p>
    <w:p w14:paraId="41CFEDE9" w14:textId="77777777" w:rsidR="00BC0601" w:rsidRDefault="00BC0601" w:rsidP="0039631D">
      <w:pPr>
        <w:pStyle w:val="CHAPBM"/>
        <w:ind w:left="360" w:right="270"/>
      </w:pPr>
      <w:r>
        <w:rPr>
          <w:rStyle w:val="BOLD"/>
        </w:rPr>
        <w:t>Finalité et emploi :</w:t>
      </w:r>
      <w:r>
        <w:t> </w:t>
      </w:r>
      <w:r>
        <w:t xml:space="preserve">Cet outil propose aux équipes-pays un moyen d’évaluer de manière systématique les points forts et les points faibles de leur processus et de leurs pratiques de conduite de la revue. </w:t>
      </w:r>
    </w:p>
    <w:p w14:paraId="60E6D2C4" w14:textId="77777777" w:rsidR="00BC0601" w:rsidRDefault="00BC0601" w:rsidP="0039631D">
      <w:pPr>
        <w:pStyle w:val="CHAPBM"/>
        <w:ind w:left="360" w:right="270"/>
      </w:pPr>
      <w:r>
        <w:t>Les résultats de l’évaluation peuvent avoir de multiples utilisations selon la maturité de la revue :</w:t>
      </w:r>
    </w:p>
    <w:p w14:paraId="1230A237" w14:textId="77777777" w:rsidR="00BC0601" w:rsidRDefault="00BC0601" w:rsidP="00DC71BB">
      <w:pPr>
        <w:pStyle w:val="BLfullwidth"/>
        <w:ind w:left="1080"/>
      </w:pPr>
      <w:r w:rsidRPr="00A94D64">
        <w:t>•</w:t>
      </w:r>
      <w:r w:rsidRPr="00A94D64">
        <w:tab/>
      </w:r>
      <w:r w:rsidRPr="00A94D64">
        <w:rPr>
          <w:rStyle w:val="ITAL"/>
        </w:rPr>
        <w:t>positionner la revue vis-à-vis du</w:t>
      </w:r>
      <w:r>
        <w:t xml:space="preserve"> cadre d’efficacité, </w:t>
      </w:r>
    </w:p>
    <w:p w14:paraId="6ECBD8DE" w14:textId="77777777" w:rsidR="00BC0601" w:rsidRDefault="00BC0601" w:rsidP="00DC71BB">
      <w:pPr>
        <w:pStyle w:val="BLfullwidth"/>
        <w:ind w:left="1080"/>
      </w:pPr>
      <w:r w:rsidRPr="00A94D64">
        <w:t>•</w:t>
      </w:r>
      <w:r w:rsidRPr="00A94D64">
        <w:tab/>
      </w:r>
      <w:r>
        <w:rPr>
          <w:rStyle w:val="ITAL"/>
        </w:rPr>
        <w:t>déterminer les capacités existantes</w:t>
      </w:r>
      <w:r>
        <w:t xml:space="preserve"> et les actions à mener pour combler les lacunes,</w:t>
      </w:r>
    </w:p>
    <w:p w14:paraId="1D4BA207" w14:textId="35B90A98" w:rsidR="00BC0601" w:rsidRDefault="00BC0601" w:rsidP="00DC71BB">
      <w:pPr>
        <w:pStyle w:val="BLfullwidth"/>
        <w:ind w:left="1080"/>
      </w:pPr>
      <w:r w:rsidRPr="00A94D64">
        <w:t>•</w:t>
      </w:r>
      <w:r w:rsidRPr="00A94D64">
        <w:tab/>
      </w:r>
      <w:r w:rsidRPr="00A94D64">
        <w:rPr>
          <w:rStyle w:val="ITAL"/>
        </w:rPr>
        <w:t>analyser les difficultés persistantes</w:t>
      </w:r>
      <w:r>
        <w:t xml:space="preserve"> qui c</w:t>
      </w:r>
      <w:r w:rsidR="00DC71BB">
        <w:t>ompromettent le suivi sectoriel</w:t>
      </w:r>
      <w:r>
        <w:t>, et donc la qualité des revues,</w:t>
      </w:r>
    </w:p>
    <w:p w14:paraId="7993B73D" w14:textId="77777777" w:rsidR="00BC0601" w:rsidRDefault="00BC0601" w:rsidP="00DC71BB">
      <w:pPr>
        <w:pStyle w:val="BLfullwidth"/>
        <w:ind w:left="1080"/>
      </w:pPr>
      <w:r w:rsidRPr="00A94D64">
        <w:t>•</w:t>
      </w:r>
      <w:r w:rsidRPr="00A94D64">
        <w:tab/>
      </w:r>
      <w:r>
        <w:rPr>
          <w:rStyle w:val="ITAL"/>
        </w:rPr>
        <w:t xml:space="preserve">mettre en évidence des possibilités </w:t>
      </w:r>
      <w:r>
        <w:t>d'améliorations sur le court terme,</w:t>
      </w:r>
    </w:p>
    <w:p w14:paraId="32E9910D" w14:textId="77777777" w:rsidR="00BC0601" w:rsidRDefault="00BC0601" w:rsidP="00DC71BB">
      <w:pPr>
        <w:pStyle w:val="BLfullwidth"/>
        <w:ind w:left="1080"/>
      </w:pPr>
      <w:r w:rsidRPr="00A94D64">
        <w:t>•</w:t>
      </w:r>
      <w:r w:rsidRPr="00A94D64">
        <w:tab/>
      </w:r>
      <w:r>
        <w:rPr>
          <w:rStyle w:val="ITAL"/>
        </w:rPr>
        <w:t>donner la priorité aux aspects du processus de revue qui sont les plus importants de traiter</w:t>
      </w:r>
      <w:r>
        <w:t>,</w:t>
      </w:r>
    </w:p>
    <w:p w14:paraId="456E7D29" w14:textId="77777777" w:rsidR="00BC0601" w:rsidRDefault="00BC0601" w:rsidP="00DC71BB">
      <w:pPr>
        <w:pStyle w:val="BLfullwidth1p2between"/>
        <w:ind w:left="1080"/>
      </w:pPr>
      <w:r w:rsidRPr="00A94D64">
        <w:t>•</w:t>
      </w:r>
      <w:r w:rsidRPr="00A94D64">
        <w:tab/>
      </w:r>
      <w:r>
        <w:rPr>
          <w:rStyle w:val="ITAL"/>
        </w:rPr>
        <w:t xml:space="preserve">suivre et documenter l’évolution de la revue </w:t>
      </w:r>
      <w:r>
        <w:t>d’une édition à l’autre.</w:t>
      </w:r>
    </w:p>
    <w:p w14:paraId="3AC454C7" w14:textId="77777777" w:rsidR="00BC0601" w:rsidRDefault="00BC0601" w:rsidP="0039631D">
      <w:pPr>
        <w:pStyle w:val="CHAPBM"/>
        <w:ind w:left="360" w:right="270"/>
      </w:pPr>
      <w:r>
        <w:rPr>
          <w:rStyle w:val="BOLD"/>
        </w:rPr>
        <w:t>Méthodologie :</w:t>
      </w:r>
      <w:r>
        <w:t> </w:t>
      </w:r>
      <w:r>
        <w:t>L’évaluation peut être effectuée individuellement par un certain nombre de parties prenantes (avec une consolidation ultérieure des résultats) ou par un groupe restreint. Dans l’idéal, les organisateurs des revues discutent des résultats avec un groupe élargi de parties prenantes (Groupe local des partenaires de l’éducation, par exemple) dans lequel la parité hommes-femmes est respectée. Il convient de noter que le classement est toutefois subjectif puisqu’il repose sur le jugement de ceux qui mènent l’évaluation dans un contexte national particulier.</w:t>
      </w:r>
    </w:p>
    <w:p w14:paraId="18F529B1" w14:textId="77777777" w:rsidR="00BC0601" w:rsidRDefault="00BC0601" w:rsidP="0039631D">
      <w:pPr>
        <w:pStyle w:val="CHAPBM"/>
        <w:ind w:left="360" w:right="270"/>
      </w:pPr>
      <w:r>
        <w:rPr>
          <w:rStyle w:val="BOLD"/>
        </w:rPr>
        <w:t>Calendrier :</w:t>
      </w:r>
      <w:r>
        <w:rPr>
          <w:rStyle w:val="BOLD"/>
        </w:rPr>
        <w:t> </w:t>
      </w:r>
      <w:r>
        <w:t>L’évaluation peut avoir lieu pendant les étapes initiales de l’organisation de la revue de façon à mettre à profit les résultats pour l’élaboration des Termes de référence et les décisions connexes. Utilisée comme outil de mesure, l’auto-évaluation intervient juste après la revue de façon à pouvoir documenter les possibilités d’amélioration et tirer des enseignements à appliquer à la prochaine revue ; l’évaluation peut être répétée pour mesurer l’évolution.</w:t>
      </w:r>
    </w:p>
    <w:p w14:paraId="7A96DEF8" w14:textId="77777777" w:rsidR="00570EC5" w:rsidRPr="00A94D64" w:rsidRDefault="00570EC5">
      <w:pPr>
        <w:rPr>
          <w:lang w:val="fr-FR"/>
        </w:rPr>
      </w:pPr>
    </w:p>
    <w:p w14:paraId="08F4CAD4" w14:textId="77777777" w:rsidR="00BC0601" w:rsidRPr="00A94D64" w:rsidRDefault="00BC0601">
      <w:pPr>
        <w:rPr>
          <w:lang w:val="fr-FR"/>
        </w:rPr>
      </w:pPr>
    </w:p>
    <w:p w14:paraId="3215EEDF" w14:textId="77777777" w:rsidR="00BC0601" w:rsidRPr="00A94D64" w:rsidRDefault="00BC0601">
      <w:pPr>
        <w:rPr>
          <w:lang w:val="fr-FR"/>
        </w:rPr>
      </w:pPr>
    </w:p>
    <w:p w14:paraId="0E79C246" w14:textId="77777777" w:rsidR="00BC0601" w:rsidRPr="00A94D64" w:rsidRDefault="00BC0601">
      <w:pPr>
        <w:rPr>
          <w:lang w:val="fr-FR"/>
        </w:rPr>
      </w:pPr>
    </w:p>
    <w:p w14:paraId="701EA210" w14:textId="77777777" w:rsidR="00BC0601" w:rsidRPr="00A94D64" w:rsidRDefault="00BC0601">
      <w:pPr>
        <w:rPr>
          <w:lang w:val="fr-FR"/>
        </w:rPr>
      </w:pPr>
    </w:p>
    <w:p w14:paraId="623C2736" w14:textId="77777777" w:rsidR="00BC0601" w:rsidRPr="00A94D64" w:rsidRDefault="00BC0601">
      <w:pPr>
        <w:rPr>
          <w:lang w:val="fr-FR"/>
        </w:rPr>
      </w:pPr>
    </w:p>
    <w:p w14:paraId="38B935EF" w14:textId="77777777" w:rsidR="00BC0601" w:rsidRPr="00A94D64" w:rsidRDefault="00BC0601">
      <w:pPr>
        <w:rPr>
          <w:lang w:val="fr-FR"/>
        </w:rPr>
      </w:pPr>
    </w:p>
    <w:p w14:paraId="3456DA35" w14:textId="77777777" w:rsidR="00BC0601" w:rsidRPr="00A94D64" w:rsidRDefault="00BC0601">
      <w:pPr>
        <w:rPr>
          <w:lang w:val="fr-FR"/>
        </w:rPr>
      </w:pPr>
    </w:p>
    <w:p w14:paraId="02FDE891" w14:textId="77777777" w:rsidR="00BC0601" w:rsidRPr="00A94D64" w:rsidRDefault="00BC0601">
      <w:pPr>
        <w:rPr>
          <w:lang w:val="fr-FR"/>
        </w:rPr>
      </w:pPr>
    </w:p>
    <w:p w14:paraId="7E6FD1A2" w14:textId="0778DA4D" w:rsidR="00072F4B" w:rsidRDefault="00412D9C" w:rsidP="00DC71BB">
      <w:pPr>
        <w:pStyle w:val="H2"/>
        <w:spacing w:before="0" w:after="0" w:line="240" w:lineRule="auto"/>
        <w:rPr>
          <w:color w:val="6E3B96"/>
        </w:rPr>
      </w:pPr>
      <w:r>
        <w:rPr>
          <w:color w:val="6E3B96"/>
        </w:rPr>
        <w:lastRenderedPageBreak/>
        <w:t xml:space="preserve"> </w:t>
      </w:r>
      <w:r w:rsidR="00DC71BB">
        <w:rPr>
          <w:color w:val="6E3B96"/>
        </w:rPr>
        <w:t xml:space="preserve"> </w:t>
      </w:r>
      <w:r w:rsidR="00072F4B">
        <w:rPr>
          <w:color w:val="6E3B96"/>
        </w:rPr>
        <w:t>Outil d’auto-évaluation de la revue sectorielle conjointe</w:t>
      </w:r>
    </w:p>
    <w:p w14:paraId="425B6050" w14:textId="77777777" w:rsidR="008E6F58" w:rsidRPr="008E6F58" w:rsidRDefault="008E6F58" w:rsidP="00DC71BB">
      <w:pPr>
        <w:pStyle w:val="H2"/>
        <w:spacing w:before="0" w:after="0" w:line="240" w:lineRule="auto"/>
        <w:rPr>
          <w:color w:val="6E3B96"/>
          <w:sz w:val="20"/>
          <w:szCs w:val="20"/>
        </w:rPr>
      </w:pPr>
    </w:p>
    <w:p w14:paraId="337F30D3" w14:textId="77777777" w:rsidR="00412D9C" w:rsidRPr="00DC71BB" w:rsidRDefault="00412D9C" w:rsidP="00DC71BB">
      <w:pPr>
        <w:pStyle w:val="H2"/>
        <w:spacing w:before="0" w:after="0" w:line="240" w:lineRule="auto"/>
        <w:rPr>
          <w:color w:val="6E3B96"/>
          <w:sz w:val="8"/>
          <w:szCs w:val="8"/>
        </w:rPr>
      </w:pPr>
    </w:p>
    <w:tbl>
      <w:tblPr>
        <w:tblW w:w="0" w:type="auto"/>
        <w:tblInd w:w="120" w:type="dxa"/>
        <w:tblLayout w:type="fixed"/>
        <w:tblCellMar>
          <w:left w:w="0" w:type="dxa"/>
          <w:right w:w="0" w:type="dxa"/>
        </w:tblCellMar>
        <w:tblLook w:val="0000" w:firstRow="0" w:lastRow="0" w:firstColumn="0" w:lastColumn="0" w:noHBand="0" w:noVBand="0"/>
      </w:tblPr>
      <w:tblGrid>
        <w:gridCol w:w="8010"/>
        <w:gridCol w:w="505"/>
        <w:gridCol w:w="485"/>
        <w:gridCol w:w="450"/>
        <w:gridCol w:w="505"/>
        <w:gridCol w:w="575"/>
      </w:tblGrid>
      <w:tr w:rsidR="00072F4B" w14:paraId="3FCC0AF9" w14:textId="77777777" w:rsidTr="00A94D64">
        <w:trPr>
          <w:trHeight w:val="243"/>
          <w:tblHeader/>
        </w:trPr>
        <w:tc>
          <w:tcPr>
            <w:tcW w:w="10530"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22CA23CC" w14:textId="77777777" w:rsidR="00072F4B" w:rsidRDefault="00072F4B" w:rsidP="00DC71BB">
            <w:pPr>
              <w:pStyle w:val="TBLCOLHDTables"/>
              <w:spacing w:after="0" w:line="240" w:lineRule="auto"/>
            </w:pPr>
            <w:r>
              <w:t xml:space="preserve">Dimension 1 : inclusive et participative </w:t>
            </w:r>
          </w:p>
        </w:tc>
      </w:tr>
      <w:tr w:rsidR="00072F4B" w:rsidRPr="00DC71BB" w14:paraId="1D3207A8" w14:textId="77777777" w:rsidTr="00A94D64">
        <w:trPr>
          <w:trHeight w:val="243"/>
        </w:trPr>
        <w:tc>
          <w:tcPr>
            <w:tcW w:w="10530" w:type="dxa"/>
            <w:gridSpan w:val="6"/>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11CDBF56" w14:textId="61077465" w:rsidR="00072F4B" w:rsidRPr="00A94D64" w:rsidRDefault="002357B9" w:rsidP="00DC71BB">
            <w:pPr>
              <w:rPr>
                <w:rFonts w:ascii="DINRoundPro-Bold" w:hAnsi="DINRoundPro-Bold"/>
                <w:color w:val="FFFFFF" w:themeColor="background1"/>
                <w:sz w:val="18"/>
                <w:szCs w:val="18"/>
                <w:lang w:val="fr-FR"/>
              </w:rPr>
            </w:pPr>
            <w:r w:rsidRPr="00A94D64">
              <w:rPr>
                <w:rFonts w:ascii="DINRoundPro-Bold" w:hAnsi="DINRoundPro-Bold"/>
                <w:color w:val="FFFFFF" w:themeColor="background1"/>
                <w:sz w:val="18"/>
                <w:szCs w:val="18"/>
                <w:lang w:val="fr-FR"/>
              </w:rPr>
              <w:t xml:space="preserve">La revue sectorielle conjointe assure la participation de toutes les parties prenantes de l’éducation et crée les conditions d’une redevabilité mutuelle. Les participants ont les compétences et l’autorité nécessaires pour s’exprimer au nom </w:t>
            </w:r>
            <w:r w:rsidRPr="00A94D64">
              <w:rPr>
                <w:rFonts w:ascii="DINRoundPro-Bold" w:hAnsi="DINRoundPro-Bold"/>
                <w:color w:val="FFFFFF" w:themeColor="background1"/>
                <w:sz w:val="18"/>
                <w:szCs w:val="18"/>
                <w:lang w:val="fr-FR"/>
              </w:rPr>
              <w:br/>
              <w:t>de l’organisation ou de l’entité qu’ils représentent.</w:t>
            </w:r>
          </w:p>
        </w:tc>
      </w:tr>
      <w:tr w:rsidR="00072F4B" w14:paraId="087D1533" w14:textId="77777777" w:rsidTr="00DC71BB">
        <w:trPr>
          <w:trHeight w:val="243"/>
        </w:trPr>
        <w:tc>
          <w:tcPr>
            <w:tcW w:w="801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35C8177" w14:textId="77777777" w:rsidR="00072F4B" w:rsidRDefault="00072F4B" w:rsidP="00DC71BB">
            <w:pPr>
              <w:pStyle w:val="TBLSIDEHEADTables"/>
              <w:spacing w:after="0" w:line="240" w:lineRule="auto"/>
            </w:pPr>
            <w:r>
              <w:rPr>
                <w:rStyle w:val="BOLD"/>
                <w:b/>
                <w:bCs/>
                <w:color w:val="6E3B96"/>
              </w:rPr>
              <w:t>1.1.</w:t>
            </w:r>
            <w:r>
              <w:rPr>
                <w:rStyle w:val="BOLD"/>
                <w:b/>
                <w:bCs/>
                <w:color w:val="6E3B96"/>
              </w:rPr>
              <w:t> </w:t>
            </w:r>
            <w:r>
              <w:rPr>
                <w:rStyle w:val="BOLD"/>
                <w:b/>
                <w:bCs/>
                <w:color w:val="6E3B96"/>
              </w:rPr>
              <w:t xml:space="preserve">Diverses catégories de parties prenantes sont représentées </w:t>
            </w:r>
          </w:p>
        </w:tc>
        <w:tc>
          <w:tcPr>
            <w:tcW w:w="50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EDF6602" w14:textId="77777777" w:rsidR="00072F4B" w:rsidRDefault="00072F4B" w:rsidP="00DC71BB">
            <w:pPr>
              <w:pStyle w:val="TBLBODYTables"/>
              <w:spacing w:after="0" w:line="240" w:lineRule="auto"/>
              <w:jc w:val="center"/>
            </w:pPr>
            <w:r>
              <w:rPr>
                <w:rStyle w:val="BOLD"/>
                <w:color w:val="6E3B96"/>
              </w:rPr>
              <w:t>- -</w:t>
            </w:r>
          </w:p>
        </w:tc>
        <w:tc>
          <w:tcPr>
            <w:tcW w:w="48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B5921E8" w14:textId="77777777" w:rsidR="00072F4B" w:rsidRDefault="00072F4B" w:rsidP="00DC71BB">
            <w:pPr>
              <w:pStyle w:val="TBLBODYTables"/>
              <w:spacing w:after="0" w:line="240" w:lineRule="auto"/>
              <w:jc w:val="center"/>
            </w:pPr>
            <w:r>
              <w:rPr>
                <w:rStyle w:val="BOLD"/>
                <w:color w:val="6E3B96"/>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3576B08D" w14:textId="77777777" w:rsidR="00072F4B" w:rsidRDefault="00072F4B" w:rsidP="00DC71BB">
            <w:pPr>
              <w:pStyle w:val="TBLBODYTables"/>
              <w:spacing w:after="0" w:line="240" w:lineRule="auto"/>
              <w:jc w:val="center"/>
            </w:pPr>
            <w:r>
              <w:rPr>
                <w:rStyle w:val="BOLD"/>
                <w:color w:val="6E3B96"/>
              </w:rPr>
              <w:t>+</w:t>
            </w:r>
          </w:p>
        </w:tc>
        <w:tc>
          <w:tcPr>
            <w:tcW w:w="50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55FE0F3" w14:textId="77777777" w:rsidR="00072F4B" w:rsidRDefault="00072F4B" w:rsidP="00DC71BB">
            <w:pPr>
              <w:pStyle w:val="TBLBODYTables"/>
              <w:spacing w:after="0" w:line="240" w:lineRule="auto"/>
              <w:jc w:val="center"/>
            </w:pPr>
            <w:r>
              <w:rPr>
                <w:rStyle w:val="BOLD"/>
                <w:color w:val="6E3B96"/>
              </w:rPr>
              <w:t>++</w:t>
            </w:r>
          </w:p>
        </w:tc>
        <w:tc>
          <w:tcPr>
            <w:tcW w:w="57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6A4587F1" w14:textId="72860E3F" w:rsidR="00072F4B" w:rsidRDefault="00DC71BB" w:rsidP="00DC71BB">
            <w:pPr>
              <w:pStyle w:val="TBLBODYTables"/>
              <w:spacing w:after="0" w:line="240" w:lineRule="auto"/>
              <w:jc w:val="center"/>
            </w:pPr>
            <w:proofErr w:type="spellStart"/>
            <w:r>
              <w:rPr>
                <w:rStyle w:val="BOLD"/>
                <w:color w:val="6E3B96"/>
                <w:spacing w:val="-5"/>
                <w:u w:color="000000"/>
              </w:rPr>
              <w:t>s.o</w:t>
            </w:r>
            <w:proofErr w:type="spellEnd"/>
            <w:r>
              <w:rPr>
                <w:rStyle w:val="BOLD"/>
                <w:color w:val="6E3B96"/>
                <w:spacing w:val="-5"/>
                <w:u w:color="000000"/>
              </w:rPr>
              <w:t>.</w:t>
            </w:r>
            <w:r>
              <w:rPr>
                <w:rStyle w:val="FootnoteReference"/>
                <w:b/>
                <w:bCs/>
                <w:color w:val="6E3B96"/>
                <w:spacing w:val="-5"/>
                <w:u w:color="000000"/>
              </w:rPr>
              <w:footnoteReference w:id="2"/>
            </w:r>
          </w:p>
        </w:tc>
      </w:tr>
      <w:tr w:rsidR="00072F4B" w:rsidRPr="00DC71BB" w14:paraId="6E4CC74E" w14:textId="77777777" w:rsidTr="00DC71BB">
        <w:trPr>
          <w:trHeight w:val="162"/>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1A3078A" w14:textId="0D34430F" w:rsidR="00072F4B" w:rsidRDefault="00072F4B" w:rsidP="00DC71BB">
            <w:pPr>
              <w:pStyle w:val="TBLBLTables"/>
              <w:numPr>
                <w:ilvl w:val="0"/>
                <w:numId w:val="1"/>
              </w:numPr>
              <w:spacing w:line="240" w:lineRule="auto"/>
              <w:ind w:left="202" w:hanging="202"/>
            </w:pPr>
            <w:r>
              <w:rPr>
                <w:spacing w:val="1"/>
              </w:rPr>
              <w:t>Le(s) ministère(s) de l’Éducation au niveau national, représentant tous les sous-secteurs</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66513F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EBB0A7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88CA7F5"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714351A"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D45EAC8"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rsidRPr="00DC71BB" w14:paraId="2856702C" w14:textId="77777777" w:rsidTr="00DC71BB">
        <w:trPr>
          <w:trHeight w:val="229"/>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286F493" w14:textId="6F0530C8" w:rsidR="00072F4B" w:rsidRDefault="00072F4B" w:rsidP="00DC71BB">
            <w:pPr>
              <w:pStyle w:val="TBLBLTables"/>
              <w:numPr>
                <w:ilvl w:val="0"/>
                <w:numId w:val="1"/>
              </w:numPr>
              <w:spacing w:line="240" w:lineRule="auto"/>
              <w:ind w:left="202" w:hanging="202"/>
            </w:pPr>
            <w:r>
              <w:rPr>
                <w:spacing w:val="1"/>
              </w:rPr>
              <w:t>Les parties prenantes de niveau régional et infranational</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E615AFB"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7EC3622"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BE5A639"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426937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6F38C3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14:paraId="5EBA29BD" w14:textId="77777777" w:rsidTr="00DC71BB">
        <w:trPr>
          <w:trHeight w:val="220"/>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71A1430" w14:textId="2241C35C" w:rsidR="00072F4B" w:rsidRDefault="00072F4B" w:rsidP="00DC71BB">
            <w:pPr>
              <w:pStyle w:val="TBLBLTables"/>
              <w:numPr>
                <w:ilvl w:val="0"/>
                <w:numId w:val="1"/>
              </w:numPr>
              <w:spacing w:line="240" w:lineRule="auto"/>
              <w:ind w:left="202" w:hanging="202"/>
            </w:pPr>
            <w:r>
              <w:rPr>
                <w:spacing w:val="1"/>
              </w:rPr>
              <w:t>Le ministère des Finances</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E8544DC" w14:textId="77777777" w:rsidR="00072F4B" w:rsidRDefault="00072F4B" w:rsidP="00DC71BB">
            <w:pPr>
              <w:pStyle w:val="NoParagraphStyle"/>
              <w:spacing w:line="240" w:lineRule="auto"/>
              <w:textAlignment w:val="auto"/>
              <w:rPr>
                <w:rFonts w:ascii="DINRoundPro-Bold" w:hAnsi="DINRoundPro-Bold" w:cs="Times New Roman"/>
                <w:color w:val="auto"/>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9AF9A71" w14:textId="77777777" w:rsidR="00072F4B" w:rsidRDefault="00072F4B" w:rsidP="00DC71BB">
            <w:pPr>
              <w:pStyle w:val="NoParagraphStyle"/>
              <w:spacing w:line="240" w:lineRule="auto"/>
              <w:textAlignment w:val="auto"/>
              <w:rPr>
                <w:rFonts w:ascii="DINRoundPro-Bold" w:hAnsi="DINRoundPro-Bold" w:cs="Times New Roman"/>
                <w:color w:val="auto"/>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0C4B7D2" w14:textId="77777777" w:rsidR="00072F4B" w:rsidRDefault="00072F4B" w:rsidP="00DC71BB">
            <w:pPr>
              <w:pStyle w:val="NoParagraphStyle"/>
              <w:spacing w:line="240" w:lineRule="auto"/>
              <w:textAlignment w:val="auto"/>
              <w:rPr>
                <w:rFonts w:ascii="DINRoundPro-Bold" w:hAnsi="DINRoundPro-Bold" w:cs="Times New Roman"/>
                <w:color w:val="auto"/>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5CCB3CE" w14:textId="77777777" w:rsidR="00072F4B" w:rsidRDefault="00072F4B" w:rsidP="00DC71BB">
            <w:pPr>
              <w:pStyle w:val="NoParagraphStyle"/>
              <w:spacing w:line="240" w:lineRule="auto"/>
              <w:textAlignment w:val="auto"/>
              <w:rPr>
                <w:rFonts w:ascii="DINRoundPro-Bold" w:hAnsi="DINRoundPro-Bold" w:cs="Times New Roman"/>
                <w:color w:val="auto"/>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91AA860" w14:textId="77777777" w:rsidR="00072F4B" w:rsidRDefault="00072F4B" w:rsidP="00DC71BB">
            <w:pPr>
              <w:pStyle w:val="NoParagraphStyle"/>
              <w:spacing w:line="240" w:lineRule="auto"/>
              <w:textAlignment w:val="auto"/>
              <w:rPr>
                <w:rFonts w:ascii="DINRoundPro-Bold" w:hAnsi="DINRoundPro-Bold" w:cs="Times New Roman"/>
                <w:color w:val="auto"/>
              </w:rPr>
            </w:pPr>
          </w:p>
        </w:tc>
      </w:tr>
      <w:tr w:rsidR="00072F4B" w:rsidRPr="00DC71BB" w14:paraId="36E11D1A" w14:textId="77777777" w:rsidTr="00DC71BB">
        <w:trPr>
          <w:trHeight w:val="49"/>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6E020B6" w14:textId="523C288E" w:rsidR="00072F4B" w:rsidRDefault="00072F4B" w:rsidP="00DC71BB">
            <w:pPr>
              <w:pStyle w:val="TBLBLTables"/>
              <w:numPr>
                <w:ilvl w:val="0"/>
                <w:numId w:val="1"/>
              </w:numPr>
              <w:spacing w:line="240" w:lineRule="auto"/>
              <w:ind w:left="202" w:hanging="202"/>
            </w:pPr>
            <w:r>
              <w:rPr>
                <w:spacing w:val="1"/>
              </w:rPr>
              <w:t>Les partenaires de développement internationaux (agences multi-ou bilatérales, ONGI)</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F53B2EA"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903C22E"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03D2C4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5D7E01B"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5BD368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rsidRPr="00DC71BB" w14:paraId="1184DD46" w14:textId="77777777" w:rsidTr="00DC71BB">
        <w:trPr>
          <w:trHeight w:val="211"/>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5263C4B" w14:textId="5ADF99B2" w:rsidR="00072F4B" w:rsidRDefault="00072F4B" w:rsidP="00DC71BB">
            <w:pPr>
              <w:pStyle w:val="TBLBLTables"/>
              <w:numPr>
                <w:ilvl w:val="0"/>
                <w:numId w:val="1"/>
              </w:numPr>
              <w:spacing w:line="240" w:lineRule="auto"/>
              <w:ind w:left="202" w:hanging="202"/>
            </w:pPr>
            <w:r>
              <w:rPr>
                <w:spacing w:val="1"/>
                <w:u w:color="000000"/>
              </w:rPr>
              <w:t xml:space="preserve">Les ONG/OSC locales, y compris les groupes de défense des droits des femmes, les réseaux de jeunes, les groupes ethniques, les associations de personnes handicapées </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6E3FEE2"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3B604D7"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8E44C52"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950EA09"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02F4C09"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14:paraId="3A517952" w14:textId="77777777" w:rsidTr="00DC71BB">
        <w:trPr>
          <w:trHeight w:val="190"/>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1297E67" w14:textId="0B53E468" w:rsidR="00072F4B" w:rsidRDefault="00072F4B" w:rsidP="00DC71BB">
            <w:pPr>
              <w:pStyle w:val="TBLBLTables"/>
              <w:numPr>
                <w:ilvl w:val="0"/>
                <w:numId w:val="1"/>
              </w:numPr>
              <w:spacing w:line="240" w:lineRule="auto"/>
              <w:ind w:left="202" w:hanging="202"/>
            </w:pPr>
            <w:r>
              <w:rPr>
                <w:spacing w:val="1"/>
              </w:rPr>
              <w:t xml:space="preserve">Les organisations d’enseignants </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FE30332" w14:textId="77777777" w:rsidR="00072F4B" w:rsidRDefault="00072F4B" w:rsidP="00DC71BB">
            <w:pPr>
              <w:pStyle w:val="NoParagraphStyle"/>
              <w:spacing w:line="240" w:lineRule="auto"/>
              <w:textAlignment w:val="auto"/>
              <w:rPr>
                <w:rFonts w:ascii="DINRoundPro-Bold" w:hAnsi="DINRoundPro-Bold" w:cs="Times New Roman"/>
                <w:color w:val="auto"/>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2FE5D78" w14:textId="77777777" w:rsidR="00072F4B" w:rsidRDefault="00072F4B" w:rsidP="00DC71BB">
            <w:pPr>
              <w:pStyle w:val="NoParagraphStyle"/>
              <w:spacing w:line="240" w:lineRule="auto"/>
              <w:textAlignment w:val="auto"/>
              <w:rPr>
                <w:rFonts w:ascii="DINRoundPro-Bold" w:hAnsi="DINRoundPro-Bold" w:cs="Times New Roman"/>
                <w:color w:val="auto"/>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54A94C" w14:textId="77777777" w:rsidR="00072F4B" w:rsidRDefault="00072F4B" w:rsidP="00DC71BB">
            <w:pPr>
              <w:pStyle w:val="NoParagraphStyle"/>
              <w:spacing w:line="240" w:lineRule="auto"/>
              <w:textAlignment w:val="auto"/>
              <w:rPr>
                <w:rFonts w:ascii="DINRoundPro-Bold" w:hAnsi="DINRoundPro-Bold" w:cs="Times New Roman"/>
                <w:color w:val="auto"/>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1EFA73E" w14:textId="77777777" w:rsidR="00072F4B" w:rsidRDefault="00072F4B" w:rsidP="00DC71BB">
            <w:pPr>
              <w:pStyle w:val="NoParagraphStyle"/>
              <w:spacing w:line="240" w:lineRule="auto"/>
              <w:textAlignment w:val="auto"/>
              <w:rPr>
                <w:rFonts w:ascii="DINRoundPro-Bold" w:hAnsi="DINRoundPro-Bold" w:cs="Times New Roman"/>
                <w:color w:val="auto"/>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1EFDF2D" w14:textId="77777777" w:rsidR="00072F4B" w:rsidRDefault="00072F4B" w:rsidP="00DC71BB">
            <w:pPr>
              <w:pStyle w:val="NoParagraphStyle"/>
              <w:spacing w:line="240" w:lineRule="auto"/>
              <w:textAlignment w:val="auto"/>
              <w:rPr>
                <w:rFonts w:ascii="DINRoundPro-Bold" w:hAnsi="DINRoundPro-Bold" w:cs="Times New Roman"/>
                <w:color w:val="auto"/>
              </w:rPr>
            </w:pPr>
          </w:p>
        </w:tc>
      </w:tr>
      <w:tr w:rsidR="00072F4B" w:rsidRPr="00DC71BB" w14:paraId="11D8671B" w14:textId="77777777" w:rsidTr="00DC71BB">
        <w:trPr>
          <w:trHeight w:val="190"/>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2A80C90" w14:textId="45BF07B5" w:rsidR="00072F4B" w:rsidRDefault="00072F4B" w:rsidP="00DC71BB">
            <w:pPr>
              <w:pStyle w:val="TBLBLTables"/>
              <w:numPr>
                <w:ilvl w:val="0"/>
                <w:numId w:val="1"/>
              </w:numPr>
              <w:spacing w:line="240" w:lineRule="auto"/>
              <w:ind w:left="202" w:hanging="202"/>
            </w:pPr>
            <w:r>
              <w:rPr>
                <w:spacing w:val="1"/>
              </w:rPr>
              <w:t>Les syndicats d’employés (personnel d’administration)</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3F6DEFB"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0D527E4"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C680E19"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EF1BEBC"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B2EEA1E"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rsidRPr="00DC71BB" w14:paraId="194D4618" w14:textId="77777777" w:rsidTr="00DC71BB">
        <w:trPr>
          <w:trHeight w:val="208"/>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5F820FF" w14:textId="7B52B55F" w:rsidR="00072F4B" w:rsidRDefault="00072F4B" w:rsidP="00DC71BB">
            <w:pPr>
              <w:pStyle w:val="TBLBLTables"/>
              <w:numPr>
                <w:ilvl w:val="0"/>
                <w:numId w:val="1"/>
              </w:numPr>
              <w:spacing w:line="240" w:lineRule="auto"/>
              <w:ind w:left="202" w:hanging="202"/>
            </w:pPr>
            <w:r>
              <w:rPr>
                <w:spacing w:val="1"/>
              </w:rPr>
              <w:t>Les comités de gestion des établissements et les associations de parents</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B16943B"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C415ABF"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2433DE1"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8A9E18B"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83E4E4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rsidRPr="00DC71BB" w14:paraId="55F68BF4" w14:textId="77777777" w:rsidTr="00DC71BB">
        <w:trPr>
          <w:trHeight w:val="409"/>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486D3D2" w14:textId="03BBB24C" w:rsidR="00072F4B" w:rsidRDefault="00072F4B" w:rsidP="00DC71BB">
            <w:pPr>
              <w:pStyle w:val="TBLBLTables"/>
              <w:numPr>
                <w:ilvl w:val="0"/>
                <w:numId w:val="2"/>
              </w:numPr>
              <w:spacing w:line="240" w:lineRule="auto"/>
              <w:ind w:left="202" w:hanging="202"/>
            </w:pPr>
            <w:r>
              <w:rPr>
                <w:spacing w:val="1"/>
              </w:rPr>
              <w:t xml:space="preserve">Autres catégories : ministères de la planification, du genre/de la condition féminine, de la santé, des affaires ethniques, de la fonction publique par </w:t>
            </w:r>
            <w:r w:rsidR="00A94D64">
              <w:rPr>
                <w:spacing w:val="1"/>
              </w:rPr>
              <w:t>exemple</w:t>
            </w:r>
            <w:r>
              <w:rPr>
                <w:spacing w:val="1"/>
              </w:rPr>
              <w:t>, universités, prestataires privés de l’éducation, médias, parlementaires</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378F59C"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2731EBD"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56F13ED"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15C27B7"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76C6F4C"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14:paraId="1131D3D3" w14:textId="77777777" w:rsidTr="00DC71BB">
        <w:trPr>
          <w:trHeight w:val="243"/>
        </w:trPr>
        <w:tc>
          <w:tcPr>
            <w:tcW w:w="801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6E63E535" w14:textId="77777777" w:rsidR="00072F4B" w:rsidRDefault="00072F4B" w:rsidP="00DC71BB">
            <w:pPr>
              <w:pStyle w:val="TBLSIDEHEADTables"/>
              <w:spacing w:after="0" w:line="240" w:lineRule="auto"/>
            </w:pPr>
            <w:r>
              <w:rPr>
                <w:rStyle w:val="BOLD"/>
                <w:b/>
                <w:bCs/>
                <w:color w:val="6E3B96"/>
              </w:rPr>
              <w:t>1.2.</w:t>
            </w:r>
            <w:r>
              <w:rPr>
                <w:rStyle w:val="BOLD"/>
                <w:b/>
                <w:bCs/>
                <w:color w:val="6E3B96"/>
              </w:rPr>
              <w:t> </w:t>
            </w:r>
            <w:r>
              <w:rPr>
                <w:rStyle w:val="BOLD"/>
                <w:b/>
                <w:bCs/>
                <w:color w:val="6E3B96"/>
              </w:rPr>
              <w:t xml:space="preserve">Les parties prenantes ont un rôle bien défini et leur participation est jugée efficace </w:t>
            </w:r>
          </w:p>
        </w:tc>
        <w:tc>
          <w:tcPr>
            <w:tcW w:w="50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95D0CBB" w14:textId="77777777" w:rsidR="00072F4B" w:rsidRDefault="00072F4B" w:rsidP="00DC71BB">
            <w:pPr>
              <w:pStyle w:val="TBLBODYTables"/>
              <w:spacing w:after="0" w:line="240" w:lineRule="auto"/>
              <w:jc w:val="center"/>
            </w:pPr>
            <w:r>
              <w:rPr>
                <w:rStyle w:val="BOLD"/>
                <w:color w:val="6E3B96"/>
              </w:rPr>
              <w:t>- -</w:t>
            </w:r>
          </w:p>
        </w:tc>
        <w:tc>
          <w:tcPr>
            <w:tcW w:w="48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1BE19C1" w14:textId="77777777" w:rsidR="00072F4B" w:rsidRDefault="00072F4B" w:rsidP="00DC71BB">
            <w:pPr>
              <w:pStyle w:val="TBLBODYTables"/>
              <w:spacing w:after="0" w:line="240" w:lineRule="auto"/>
              <w:jc w:val="center"/>
            </w:pPr>
            <w:r>
              <w:rPr>
                <w:rStyle w:val="BOLD"/>
                <w:color w:val="6E3B96"/>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4EEE752" w14:textId="77777777" w:rsidR="00072F4B" w:rsidRDefault="00072F4B" w:rsidP="00DC71BB">
            <w:pPr>
              <w:pStyle w:val="TBLBODYTables"/>
              <w:spacing w:after="0" w:line="240" w:lineRule="auto"/>
              <w:jc w:val="center"/>
            </w:pPr>
            <w:r>
              <w:rPr>
                <w:rStyle w:val="BOLD"/>
                <w:color w:val="6E3B96"/>
              </w:rPr>
              <w:t>+</w:t>
            </w:r>
          </w:p>
        </w:tc>
        <w:tc>
          <w:tcPr>
            <w:tcW w:w="50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C2CDEF9" w14:textId="77777777" w:rsidR="00072F4B" w:rsidRDefault="00072F4B" w:rsidP="00DC71BB">
            <w:pPr>
              <w:pStyle w:val="TBLBODYTables"/>
              <w:spacing w:after="0" w:line="240" w:lineRule="auto"/>
              <w:jc w:val="center"/>
            </w:pPr>
            <w:r>
              <w:rPr>
                <w:rStyle w:val="BOLD"/>
                <w:color w:val="6E3B96"/>
              </w:rPr>
              <w:t>++</w:t>
            </w:r>
          </w:p>
        </w:tc>
        <w:tc>
          <w:tcPr>
            <w:tcW w:w="57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072DA69" w14:textId="77777777" w:rsidR="00072F4B" w:rsidRDefault="00072F4B" w:rsidP="00DC71BB">
            <w:pPr>
              <w:pStyle w:val="TBLBODYTables"/>
              <w:spacing w:after="0" w:line="240" w:lineRule="auto"/>
              <w:jc w:val="center"/>
            </w:pPr>
            <w:proofErr w:type="spellStart"/>
            <w:r>
              <w:rPr>
                <w:rStyle w:val="BOLD"/>
                <w:color w:val="6E3B96"/>
                <w:u w:color="000000"/>
              </w:rPr>
              <w:t>s.o</w:t>
            </w:r>
            <w:proofErr w:type="spellEnd"/>
            <w:r>
              <w:rPr>
                <w:rStyle w:val="BOLD"/>
                <w:color w:val="6E3B96"/>
                <w:u w:color="000000"/>
              </w:rPr>
              <w:t>.</w:t>
            </w:r>
          </w:p>
        </w:tc>
      </w:tr>
      <w:tr w:rsidR="00072F4B" w:rsidRPr="00DC71BB" w14:paraId="4D691301" w14:textId="77777777" w:rsidTr="00DC71BB">
        <w:trPr>
          <w:trHeight w:val="463"/>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F980BC9" w14:textId="3F77E2B6" w:rsidR="00072F4B" w:rsidRDefault="00072F4B" w:rsidP="00DC71BB">
            <w:pPr>
              <w:pStyle w:val="TBLBLTables"/>
              <w:numPr>
                <w:ilvl w:val="0"/>
                <w:numId w:val="2"/>
              </w:numPr>
              <w:spacing w:line="240" w:lineRule="auto"/>
              <w:ind w:left="202" w:hanging="202"/>
            </w:pPr>
            <w:r>
              <w:t>Les rôles et responsabilités des principales parties prenantes sont débattus et approuvés en amont de la revue sectorielle conjointe (dans le cadre de la discussion des Termes de référence, du programme, etc.)</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08F875"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E30838F"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633E3BB"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FB47484"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8E6E842"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rsidRPr="00DC71BB" w14:paraId="13B4C953" w14:textId="77777777" w:rsidTr="00DC71BB">
        <w:trPr>
          <w:trHeight w:val="459"/>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0ADDE9" w14:textId="79E16C33" w:rsidR="00072F4B" w:rsidRDefault="00072F4B" w:rsidP="00DC71BB">
            <w:pPr>
              <w:pStyle w:val="TBLBLTables"/>
              <w:numPr>
                <w:ilvl w:val="0"/>
                <w:numId w:val="2"/>
              </w:numPr>
              <w:spacing w:line="240" w:lineRule="auto"/>
              <w:ind w:left="202" w:hanging="202"/>
            </w:pPr>
            <w:r>
              <w:rPr>
                <w:spacing w:val="-2"/>
              </w:rPr>
              <w:t>Les OSC locales ont un rôle bien précis (apport de données pour le rapport annuel de mise en œuvre, contributions à l’élaboration du programme de la revue, suivi des recommandations, etc.)</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2F01799"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FC62E4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0E98679"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9D8AA64"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80DC7C0"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rsidRPr="00DC71BB" w14:paraId="177C1AF0" w14:textId="77777777" w:rsidTr="00DC71BB">
        <w:trPr>
          <w:trHeight w:val="459"/>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99C2DF3" w14:textId="4144A0B8" w:rsidR="00072F4B" w:rsidRDefault="00072F4B" w:rsidP="00DC71BB">
            <w:pPr>
              <w:pStyle w:val="TBLBLTables"/>
              <w:numPr>
                <w:ilvl w:val="0"/>
                <w:numId w:val="2"/>
              </w:numPr>
              <w:spacing w:line="240" w:lineRule="auto"/>
              <w:ind w:left="202" w:hanging="202"/>
            </w:pPr>
            <w:r>
              <w:t>Les partenaires de développement locaux ont un rôle bien précis (apport de données pour le rapport annuel de mise en œuvre, contribution au programme de la revue, soutien financier et technique à l’organisation de la revue, etc.)</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79B90FB"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615AE85"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8D50D24"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065FC57"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8E5C69"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rsidRPr="00DC71BB" w14:paraId="091D0A7A" w14:textId="77777777" w:rsidTr="00DC71BB">
        <w:trPr>
          <w:trHeight w:val="423"/>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F222728" w14:textId="79BD7D61" w:rsidR="00072F4B" w:rsidRDefault="00072F4B" w:rsidP="00DC71BB">
            <w:pPr>
              <w:pStyle w:val="TBLBLTables"/>
              <w:numPr>
                <w:ilvl w:val="0"/>
                <w:numId w:val="2"/>
              </w:numPr>
              <w:spacing w:line="240" w:lineRule="auto"/>
              <w:ind w:left="202" w:hanging="202"/>
            </w:pPr>
            <w:r>
              <w:t>Les modalités et la méthodologie adoptées pour les séances plénières et les séances de groupes favorisent un dialogue constructif, tiennent compte de la dynamique liée au genre et contribuent à la recherche d’un consensus sur les recommandations</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C44E55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A1E790A"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E16774F"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EEBE326"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A75ED4A"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rsidRPr="00DC71BB" w14:paraId="7B6ED1CF" w14:textId="77777777" w:rsidTr="00DC71BB">
        <w:trPr>
          <w:trHeight w:val="414"/>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A278E96" w14:textId="51287002" w:rsidR="00A94D64" w:rsidRDefault="00072F4B" w:rsidP="00DC71BB">
            <w:pPr>
              <w:pStyle w:val="TBLBLTables"/>
              <w:numPr>
                <w:ilvl w:val="0"/>
                <w:numId w:val="2"/>
              </w:numPr>
              <w:spacing w:line="240" w:lineRule="auto"/>
              <w:ind w:left="202" w:hanging="202"/>
            </w:pPr>
            <w:r>
              <w:t xml:space="preserve">Les animateurs sont soigneusement sélectionnés et reçoivent des directives claires pour favoriser une participation efficace et orienter les débats vers les résultats attendus </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A95E709"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3CD163F"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DDB176C"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91E6E58"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F7BCCDB"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14:paraId="32A1AA4D" w14:textId="77777777" w:rsidTr="00DC71BB">
        <w:trPr>
          <w:trHeight w:val="243"/>
        </w:trPr>
        <w:tc>
          <w:tcPr>
            <w:tcW w:w="801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6573F3E6" w14:textId="77777777" w:rsidR="00072F4B" w:rsidRDefault="00072F4B" w:rsidP="00DC71BB">
            <w:pPr>
              <w:pStyle w:val="TBLSIDEHEADTables"/>
              <w:spacing w:after="0" w:line="240" w:lineRule="auto"/>
            </w:pPr>
            <w:r>
              <w:rPr>
                <w:rStyle w:val="BOLD"/>
                <w:b/>
                <w:bCs/>
                <w:color w:val="6E3B96"/>
              </w:rPr>
              <w:lastRenderedPageBreak/>
              <w:t>1.3.</w:t>
            </w:r>
            <w:r>
              <w:rPr>
                <w:rStyle w:val="BOLD"/>
                <w:b/>
                <w:bCs/>
                <w:color w:val="6E3B96"/>
              </w:rPr>
              <w:t> </w:t>
            </w:r>
            <w:r>
              <w:rPr>
                <w:rStyle w:val="BOLD"/>
                <w:b/>
                <w:bCs/>
                <w:color w:val="6E3B96"/>
              </w:rPr>
              <w:t xml:space="preserve">Les parties prenantes font preuve de leadership et de redevabilité </w:t>
            </w:r>
          </w:p>
        </w:tc>
        <w:tc>
          <w:tcPr>
            <w:tcW w:w="50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C60A894" w14:textId="77777777" w:rsidR="00072F4B" w:rsidRDefault="00072F4B" w:rsidP="00DC71BB">
            <w:pPr>
              <w:pStyle w:val="TBLBODYTables"/>
              <w:spacing w:after="0" w:line="240" w:lineRule="auto"/>
              <w:jc w:val="center"/>
            </w:pPr>
            <w:r>
              <w:rPr>
                <w:rStyle w:val="BOLD"/>
                <w:color w:val="6E3B96"/>
              </w:rPr>
              <w:t>- -</w:t>
            </w:r>
          </w:p>
        </w:tc>
        <w:tc>
          <w:tcPr>
            <w:tcW w:w="48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330106F" w14:textId="77777777" w:rsidR="00072F4B" w:rsidRDefault="00072F4B" w:rsidP="00DC71BB">
            <w:pPr>
              <w:pStyle w:val="TBLBODYTables"/>
              <w:spacing w:after="0" w:line="240" w:lineRule="auto"/>
              <w:jc w:val="center"/>
            </w:pPr>
            <w:r>
              <w:rPr>
                <w:rStyle w:val="BOLD"/>
                <w:color w:val="6E3B96"/>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35F31D8F" w14:textId="77777777" w:rsidR="00072F4B" w:rsidRDefault="00072F4B" w:rsidP="00DC71BB">
            <w:pPr>
              <w:pStyle w:val="TBLBODYTables"/>
              <w:spacing w:after="0" w:line="240" w:lineRule="auto"/>
              <w:jc w:val="center"/>
            </w:pPr>
            <w:r>
              <w:rPr>
                <w:rStyle w:val="BOLD"/>
                <w:color w:val="6E3B96"/>
              </w:rPr>
              <w:t>+</w:t>
            </w:r>
          </w:p>
        </w:tc>
        <w:tc>
          <w:tcPr>
            <w:tcW w:w="50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AC1C95F" w14:textId="77777777" w:rsidR="00072F4B" w:rsidRDefault="00072F4B" w:rsidP="00DC71BB">
            <w:pPr>
              <w:pStyle w:val="TBLBODYTables"/>
              <w:spacing w:after="0" w:line="240" w:lineRule="auto"/>
              <w:jc w:val="center"/>
            </w:pPr>
            <w:r>
              <w:rPr>
                <w:rStyle w:val="BOLD"/>
                <w:color w:val="6E3B96"/>
              </w:rPr>
              <w:t>++</w:t>
            </w:r>
          </w:p>
        </w:tc>
        <w:tc>
          <w:tcPr>
            <w:tcW w:w="57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75713DD" w14:textId="77777777" w:rsidR="00072F4B" w:rsidRDefault="00072F4B" w:rsidP="00DC71BB">
            <w:pPr>
              <w:pStyle w:val="TBLBODYTables"/>
              <w:spacing w:after="0" w:line="240" w:lineRule="auto"/>
              <w:jc w:val="center"/>
            </w:pPr>
            <w:proofErr w:type="spellStart"/>
            <w:r>
              <w:rPr>
                <w:rStyle w:val="BOLD"/>
                <w:color w:val="6E3B96"/>
                <w:u w:color="000000"/>
              </w:rPr>
              <w:t>s.o</w:t>
            </w:r>
            <w:proofErr w:type="spellEnd"/>
            <w:r>
              <w:rPr>
                <w:rStyle w:val="BOLD"/>
                <w:color w:val="6E3B96"/>
                <w:u w:color="000000"/>
              </w:rPr>
              <w:t>.</w:t>
            </w:r>
          </w:p>
        </w:tc>
      </w:tr>
      <w:tr w:rsidR="00072F4B" w:rsidRPr="00DC71BB" w14:paraId="0E211267" w14:textId="77777777" w:rsidTr="00DC71BB">
        <w:trPr>
          <w:trHeight w:val="541"/>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F0F1B78" w14:textId="4E99C406" w:rsidR="00072F4B" w:rsidRDefault="00072F4B" w:rsidP="00DC71BB">
            <w:pPr>
              <w:pStyle w:val="TBLBLTables"/>
              <w:numPr>
                <w:ilvl w:val="0"/>
                <w:numId w:val="3"/>
              </w:numPr>
              <w:spacing w:line="240" w:lineRule="auto"/>
              <w:ind w:left="202" w:hanging="202"/>
            </w:pPr>
            <w:r>
              <w:rPr>
                <w:spacing w:val="1"/>
              </w:rPr>
              <w:t>Le ou les ministres de l’Éducation prennent la direction du processus de revue sectorielle conjointe (préparation, organisation, suivi) et les responsables des pouvoirs publics à tous les niveaux s’approprient les processus de la revue</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19DC016"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BDEB847"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A503CAF"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334D018"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C1FE1AB"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rsidRPr="00DC71BB" w14:paraId="27A06688" w14:textId="77777777" w:rsidTr="00DC71BB">
        <w:trPr>
          <w:trHeight w:val="450"/>
        </w:trPr>
        <w:tc>
          <w:tcPr>
            <w:tcW w:w="80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5CBA328" w14:textId="3ABE8005" w:rsidR="00072F4B" w:rsidRDefault="00072F4B" w:rsidP="00DC71BB">
            <w:pPr>
              <w:pStyle w:val="TBLBLTables"/>
              <w:numPr>
                <w:ilvl w:val="0"/>
                <w:numId w:val="3"/>
              </w:numPr>
              <w:spacing w:line="240" w:lineRule="auto"/>
              <w:ind w:left="202" w:hanging="202"/>
            </w:pPr>
            <w:r>
              <w:t>Les ONG, les OSC, les partenaires de développement bilatéraux et multilatéraux sont impliqués dans la revue en tant que processus conjoint et ils adhèrent aux objectifs qui ont été conjointement approuvés</w:t>
            </w: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03EEFAE"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8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97D97E3"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238C9B7"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0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79F3AB0"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c>
          <w:tcPr>
            <w:tcW w:w="57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29B372C" w14:textId="77777777" w:rsidR="00072F4B" w:rsidRPr="00A94D64" w:rsidRDefault="00072F4B" w:rsidP="00DC71BB">
            <w:pPr>
              <w:pStyle w:val="NoParagraphStyle"/>
              <w:spacing w:line="240" w:lineRule="auto"/>
              <w:textAlignment w:val="auto"/>
              <w:rPr>
                <w:rFonts w:ascii="DINRoundPro-Bold" w:hAnsi="DINRoundPro-Bold" w:cs="Times New Roman"/>
                <w:color w:val="auto"/>
                <w:lang w:val="fr-FR"/>
              </w:rPr>
            </w:pPr>
          </w:p>
        </w:tc>
      </w:tr>
      <w:tr w:rsidR="00072F4B" w14:paraId="047406BB" w14:textId="77777777" w:rsidTr="00A94D64">
        <w:trPr>
          <w:trHeight w:val="450"/>
        </w:trPr>
        <w:tc>
          <w:tcPr>
            <w:tcW w:w="10530" w:type="dxa"/>
            <w:gridSpan w:val="6"/>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14:paraId="230E0B65" w14:textId="77777777" w:rsidR="00072F4B" w:rsidRDefault="00072F4B" w:rsidP="00DC71BB">
            <w:pPr>
              <w:pStyle w:val="TBLBODYTables"/>
              <w:spacing w:after="0" w:line="240" w:lineRule="auto"/>
            </w:pPr>
            <w:r>
              <w:rPr>
                <w:rStyle w:val="BOLD"/>
              </w:rPr>
              <w:t>Commentaires :</w:t>
            </w:r>
            <w:r>
              <w:rPr>
                <w:rStyle w:val="BOLD"/>
              </w:rPr>
              <w:br/>
            </w:r>
            <w:r>
              <w:br/>
            </w:r>
            <w:r>
              <w:br/>
            </w:r>
          </w:p>
          <w:p w14:paraId="3277FD7F" w14:textId="77777777" w:rsidR="00554F26" w:rsidRDefault="00554F26" w:rsidP="00DC71BB">
            <w:pPr>
              <w:pStyle w:val="TBLBODYTables"/>
              <w:spacing w:after="0" w:line="240" w:lineRule="auto"/>
            </w:pPr>
          </w:p>
          <w:p w14:paraId="28D2BA03" w14:textId="77777777" w:rsidR="00554F26" w:rsidRDefault="00554F26" w:rsidP="00DC71BB">
            <w:pPr>
              <w:pStyle w:val="TBLBODYTables"/>
              <w:spacing w:after="0" w:line="240" w:lineRule="auto"/>
            </w:pPr>
          </w:p>
          <w:p w14:paraId="4E60EA27" w14:textId="77777777" w:rsidR="00554F26" w:rsidRDefault="00554F26" w:rsidP="00DC71BB">
            <w:pPr>
              <w:pStyle w:val="TBLBODYTables"/>
              <w:spacing w:after="0" w:line="240" w:lineRule="auto"/>
            </w:pPr>
          </w:p>
          <w:p w14:paraId="621819AD" w14:textId="77777777" w:rsidR="00554F26" w:rsidRDefault="00554F26" w:rsidP="00DC71BB">
            <w:pPr>
              <w:pStyle w:val="TBLBODYTables"/>
              <w:spacing w:after="0" w:line="240" w:lineRule="auto"/>
            </w:pPr>
          </w:p>
          <w:p w14:paraId="31E4AAE2" w14:textId="77777777" w:rsidR="00554F26" w:rsidRDefault="00554F26" w:rsidP="00DC71BB">
            <w:pPr>
              <w:pStyle w:val="TBLBODYTables"/>
              <w:spacing w:after="0" w:line="240" w:lineRule="auto"/>
            </w:pPr>
          </w:p>
          <w:p w14:paraId="3E08A81A" w14:textId="77777777" w:rsidR="00554F26" w:rsidRDefault="00554F26" w:rsidP="00DC71BB">
            <w:pPr>
              <w:pStyle w:val="TBLBODYTables"/>
              <w:spacing w:after="0" w:line="240" w:lineRule="auto"/>
            </w:pPr>
          </w:p>
          <w:p w14:paraId="5E917F39" w14:textId="77777777" w:rsidR="00554F26" w:rsidRDefault="00554F26" w:rsidP="00DC71BB">
            <w:pPr>
              <w:pStyle w:val="TBLBODYTables"/>
              <w:spacing w:after="0" w:line="240" w:lineRule="auto"/>
            </w:pPr>
          </w:p>
          <w:p w14:paraId="0CFDBDAB" w14:textId="77777777" w:rsidR="00554F26" w:rsidRDefault="00554F26" w:rsidP="00DC71BB">
            <w:pPr>
              <w:pStyle w:val="TBLBODYTables"/>
              <w:spacing w:after="0" w:line="240" w:lineRule="auto"/>
            </w:pPr>
          </w:p>
          <w:p w14:paraId="4F8A3730" w14:textId="0ECA9689" w:rsidR="00554F26" w:rsidRDefault="00554F26" w:rsidP="00DC71BB">
            <w:pPr>
              <w:pStyle w:val="TBLBODYTables"/>
              <w:spacing w:after="0" w:line="240" w:lineRule="auto"/>
            </w:pPr>
          </w:p>
        </w:tc>
      </w:tr>
    </w:tbl>
    <w:p w14:paraId="252F60F7" w14:textId="184E2C28" w:rsidR="002357B9" w:rsidRDefault="002357B9">
      <w:pPr>
        <w:rPr>
          <w:rFonts w:ascii="SwiftLTStd-Regular" w:hAnsi="SwiftLTStd-Regular" w:cs="SwiftLTStd-Regular"/>
          <w:color w:val="000000"/>
          <w:lang w:val="fr-FR"/>
        </w:rPr>
      </w:pPr>
      <w:r>
        <w:br w:type="page"/>
      </w:r>
    </w:p>
    <w:tbl>
      <w:tblPr>
        <w:tblW w:w="0" w:type="auto"/>
        <w:tblInd w:w="120" w:type="dxa"/>
        <w:tblLayout w:type="fixed"/>
        <w:tblCellMar>
          <w:left w:w="0" w:type="dxa"/>
          <w:right w:w="0" w:type="dxa"/>
        </w:tblCellMar>
        <w:tblLook w:val="0000" w:firstRow="0" w:lastRow="0" w:firstColumn="0" w:lastColumn="0" w:noHBand="0" w:noVBand="0"/>
      </w:tblPr>
      <w:tblGrid>
        <w:gridCol w:w="8045"/>
        <w:gridCol w:w="450"/>
        <w:gridCol w:w="450"/>
        <w:gridCol w:w="450"/>
        <w:gridCol w:w="450"/>
        <w:gridCol w:w="560"/>
      </w:tblGrid>
      <w:tr w:rsidR="0019691F" w:rsidRPr="00DC71BB" w14:paraId="4A44235D" w14:textId="77777777">
        <w:trPr>
          <w:trHeight w:val="243"/>
          <w:tblHeader/>
        </w:trPr>
        <w:tc>
          <w:tcPr>
            <w:tcW w:w="10405"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5C3DCF3C"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aps/>
                <w:color w:val="FFFFFF"/>
                <w:sz w:val="18"/>
                <w:szCs w:val="18"/>
                <w:lang w:val="fr-FR"/>
              </w:rPr>
            </w:pPr>
            <w:r w:rsidRPr="0019691F">
              <w:rPr>
                <w:rFonts w:ascii="DINRoundPro-Bold" w:hAnsi="DINRoundPro-Bold" w:cs="DINRoundPro-Bold"/>
                <w:b/>
                <w:bCs/>
                <w:caps/>
                <w:color w:val="FFFFFF"/>
                <w:sz w:val="18"/>
                <w:szCs w:val="18"/>
                <w:lang w:val="fr-FR"/>
              </w:rPr>
              <w:lastRenderedPageBreak/>
              <w:t>Dimension 2 : Alignée sur des cadres politiques communs</w:t>
            </w:r>
          </w:p>
        </w:tc>
      </w:tr>
      <w:tr w:rsidR="0019691F" w:rsidRPr="00DC71BB" w14:paraId="267CBDC6" w14:textId="77777777" w:rsidTr="00C72774">
        <w:trPr>
          <w:trHeight w:val="60"/>
        </w:trPr>
        <w:tc>
          <w:tcPr>
            <w:tcW w:w="10405" w:type="dxa"/>
            <w:gridSpan w:val="6"/>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330D7636"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r w:rsidRPr="0019691F">
              <w:rPr>
                <w:rFonts w:ascii="DINRoundPro" w:hAnsi="DINRoundPro" w:cs="DINRoundPro"/>
                <w:b/>
                <w:bCs/>
                <w:color w:val="FFFFFF"/>
                <w:sz w:val="18"/>
                <w:szCs w:val="18"/>
                <w:u w:color="000000"/>
                <w:lang w:val="fr-FR"/>
              </w:rPr>
              <w:t>La revue sectorielle conjointe est alignée sur le PSE/PTE, cadre politique commun qui définit le périmètre des différents domaines couverts par la revue, ce qui inclut le plan sectoriel et ses sous-ensembles opérationnels (plan opérationnel annuel ou pluriannuel)</w:t>
            </w:r>
          </w:p>
        </w:tc>
      </w:tr>
      <w:tr w:rsidR="0019691F" w:rsidRPr="0019691F" w14:paraId="4B3EE327" w14:textId="77777777" w:rsidTr="00C72774">
        <w:trPr>
          <w:trHeight w:val="243"/>
        </w:trPr>
        <w:tc>
          <w:tcPr>
            <w:tcW w:w="804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A892BB3"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2.1.</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 xml:space="preserve">Le périmètre de la revue est défini par le PSE et ses sous-composants opérationnels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B5E328B"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7C5C109"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88B3522"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F824267"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633A3638"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4F3C901C" w14:textId="77777777">
        <w:trPr>
          <w:trHeight w:val="162"/>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69D1CB8" w14:textId="2C73FC67" w:rsidR="0019691F" w:rsidRPr="00C72774" w:rsidRDefault="0019691F" w:rsidP="00A94D64">
            <w:pPr>
              <w:pStyle w:val="ListParagraph"/>
              <w:widowControl w:val="0"/>
              <w:numPr>
                <w:ilvl w:val="0"/>
                <w:numId w:val="4"/>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z w:val="18"/>
                <w:szCs w:val="18"/>
                <w:lang w:val="fr-FR"/>
              </w:rPr>
              <w:t>Le PSE est commun à tous les partenaires qui l’ont endossé et connu de tous les participants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463989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BE2636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0B376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4589ED1"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6D1873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1714A917" w14:textId="77777777">
        <w:trPr>
          <w:trHeight w:val="162"/>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171612E" w14:textId="59D0A894" w:rsidR="0019691F" w:rsidRPr="00C72774" w:rsidRDefault="0019691F" w:rsidP="00A94D64">
            <w:pPr>
              <w:pStyle w:val="ListParagraph"/>
              <w:widowControl w:val="0"/>
              <w:numPr>
                <w:ilvl w:val="0"/>
                <w:numId w:val="4"/>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z w:val="18"/>
                <w:szCs w:val="18"/>
                <w:lang w:val="fr-FR"/>
              </w:rPr>
              <w:t>Les documents de travail de la revue (rapport d’avancement de la mise en œuvre, rapports financiers, etc.) sont alignés sur le PSE et ses sous-composants (plan opérationnel annuel ou pluriannuel, etc.)</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5AA07D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6FB8CA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B50FDA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D1FAEA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37D403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1CFEF6F5" w14:textId="77777777" w:rsidTr="00C72774">
        <w:trPr>
          <w:trHeight w:val="279"/>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EA7928D" w14:textId="4DDA301C" w:rsidR="0019691F" w:rsidRPr="00C72774" w:rsidRDefault="0019691F" w:rsidP="00A94D64">
            <w:pPr>
              <w:pStyle w:val="ListParagraph"/>
              <w:widowControl w:val="0"/>
              <w:numPr>
                <w:ilvl w:val="0"/>
                <w:numId w:val="4"/>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pacing w:val="-3"/>
                <w:sz w:val="18"/>
                <w:szCs w:val="18"/>
                <w:lang w:val="fr-FR"/>
              </w:rPr>
              <w:t>Le cadre de résultats utilisé pour la revue est identique à celui du PSE et de ses sous-composants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DADF1BB"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51F69D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12C9EA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7CF009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B56D39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28786956" w14:textId="77777777" w:rsidTr="00C72774">
        <w:trPr>
          <w:trHeight w:val="243"/>
        </w:trPr>
        <w:tc>
          <w:tcPr>
            <w:tcW w:w="804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7C54DEF4"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2.2.</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 xml:space="preserve">La revue s’inscrit dans une approche sectorielle globale et favorise l’alignement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EFA418E"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1B1DBCC"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F49FA92"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341EAE99"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81CEB37"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1C7CE44B" w14:textId="77777777">
        <w:trPr>
          <w:trHeight w:val="432"/>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E6DBF3E" w14:textId="6CFE7F80" w:rsidR="0019691F" w:rsidRPr="00C72774" w:rsidRDefault="0019691F" w:rsidP="00A94D64">
            <w:pPr>
              <w:pStyle w:val="ListParagraph"/>
              <w:widowControl w:val="0"/>
              <w:numPr>
                <w:ilvl w:val="0"/>
                <w:numId w:val="5"/>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z w:val="18"/>
                <w:szCs w:val="18"/>
                <w:lang w:val="fr-FR"/>
              </w:rPr>
              <w:t>Le type de rapport utilisé (rapport de mise en œuvre) pour la revue couvre tous les sous-secteurs du PSE/PTE (préscolaire, primaire, secondaire, non formel, EFTP et enseignement supérieur) et les questions transversales, y compris l’égalité des sexes</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34E6D7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2C9393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6CA45FB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8F9224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8A4271B"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23B6B9EB" w14:textId="77777777">
        <w:trPr>
          <w:trHeight w:val="342"/>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E4ECE89" w14:textId="26467546" w:rsidR="0019691F" w:rsidRPr="00C72774" w:rsidRDefault="0019691F" w:rsidP="00A94D64">
            <w:pPr>
              <w:pStyle w:val="ListParagraph"/>
              <w:widowControl w:val="0"/>
              <w:numPr>
                <w:ilvl w:val="0"/>
                <w:numId w:val="5"/>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z w:val="18"/>
                <w:szCs w:val="18"/>
                <w:lang w:val="fr-FR"/>
              </w:rPr>
              <w:t>La réunion de la revue sectorielle conjointe ou le rapport de mise en œuvre traite des activités/programmes financés par des fonds nationaux, selon les indications du PSE/PTE</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0564DF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9F8C6E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7F285A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DFDF7F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631E7D3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7F98ADED" w14:textId="77777777">
        <w:trPr>
          <w:trHeight w:val="432"/>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407276A" w14:textId="6DE83388" w:rsidR="0019691F" w:rsidRPr="00C72774" w:rsidRDefault="0019691F" w:rsidP="00A94D64">
            <w:pPr>
              <w:pStyle w:val="ListParagraph"/>
              <w:widowControl w:val="0"/>
              <w:numPr>
                <w:ilvl w:val="0"/>
                <w:numId w:val="5"/>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pacing w:val="-3"/>
                <w:sz w:val="18"/>
                <w:szCs w:val="18"/>
                <w:lang w:val="fr-FR"/>
              </w:rPr>
              <w:t>La réunion de la revue sectorielle conjointe ou le rapport de mise en œuvre traite des activités/programmes financés par l’aide extérieure et inscrits au budget selon les indications du PSE/PTE</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17FEC7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39E8A3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429075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50A963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231125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4596541E" w14:textId="77777777">
        <w:trPr>
          <w:trHeight w:val="360"/>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F554AA5" w14:textId="609FFD21" w:rsidR="0019691F" w:rsidRPr="00C72774" w:rsidRDefault="0019691F" w:rsidP="00A94D64">
            <w:pPr>
              <w:pStyle w:val="ListParagraph"/>
              <w:widowControl w:val="0"/>
              <w:numPr>
                <w:ilvl w:val="0"/>
                <w:numId w:val="5"/>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z w:val="18"/>
                <w:szCs w:val="18"/>
                <w:lang w:val="fr-FR"/>
              </w:rPr>
              <w:t>La réunion de la revue sectorielle conjointe ou le rapport de mise en œuvre traite des activités/programmes financés par l’aide extérieure mais qui sont hors budget (et n’apparaissent pas dans le budget du PSE/PTE)</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61D650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0B8684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D86076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9D69B1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9087C5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4C46BA2A" w14:textId="77777777" w:rsidTr="00C72774">
        <w:trPr>
          <w:trHeight w:val="297"/>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325E62E" w14:textId="20105A78" w:rsidR="0019691F" w:rsidRPr="00C72774" w:rsidRDefault="0019691F" w:rsidP="00A94D64">
            <w:pPr>
              <w:pStyle w:val="ListParagraph"/>
              <w:widowControl w:val="0"/>
              <w:numPr>
                <w:ilvl w:val="0"/>
                <w:numId w:val="5"/>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pacing w:val="1"/>
                <w:sz w:val="18"/>
                <w:szCs w:val="18"/>
                <w:lang w:val="fr-FR"/>
              </w:rPr>
              <w:t>La réunion de la revue sectorielle conjointe ou le rapport de mise en œuvre cite les activités/programmes financés par des fonds extérieurs qui sont hors plan (qui n’apparaissent pas dans le plan)</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FFC400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B31847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5B4ACD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F57907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D4F0A31"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5C3D7C01" w14:textId="77777777" w:rsidTr="00C72774">
        <w:trPr>
          <w:trHeight w:val="243"/>
        </w:trPr>
        <w:tc>
          <w:tcPr>
            <w:tcW w:w="8045"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060B838"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2.3.</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 xml:space="preserve">La revue contribue à réduire les doublons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98829D1"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67B8F8DC"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3E300A21"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40177A4"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757BEBF"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309C779F" w14:textId="77777777">
        <w:trPr>
          <w:trHeight w:val="198"/>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DCB0B4E" w14:textId="283CB0FF" w:rsidR="0019691F" w:rsidRPr="00C72774" w:rsidRDefault="0019691F" w:rsidP="00A94D64">
            <w:pPr>
              <w:pStyle w:val="ListParagraph"/>
              <w:widowControl w:val="0"/>
              <w:numPr>
                <w:ilvl w:val="0"/>
                <w:numId w:val="6"/>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z w:val="18"/>
                <w:szCs w:val="18"/>
                <w:lang w:val="fr-FR"/>
              </w:rPr>
              <w:t xml:space="preserve">La revue fait partie intégrante des mécanismes de dialogue sectoriel établis entre les acteurs des pouvoirs publics et les partenaires de développement.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17D7A1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5C28F0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3F5563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5F818B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9D94E4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79FE59C9" w14:textId="77777777">
        <w:trPr>
          <w:trHeight w:val="414"/>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DA5DE55" w14:textId="11C2BED4" w:rsidR="0019691F" w:rsidRPr="00C72774" w:rsidRDefault="0019691F" w:rsidP="00A94D64">
            <w:pPr>
              <w:pStyle w:val="ListParagraph"/>
              <w:widowControl w:val="0"/>
              <w:numPr>
                <w:ilvl w:val="0"/>
                <w:numId w:val="6"/>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z w:val="18"/>
                <w:szCs w:val="18"/>
                <w:lang w:val="fr-FR"/>
              </w:rPr>
              <w:t>La revue est le principal mécanisme de revue sectorielle sur lequel s’alignent toutes les parties prenantes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F4F5F5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30934D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33D0AB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7D052C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E03FC9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0E2606A4" w14:textId="77777777">
        <w:trPr>
          <w:trHeight w:val="414"/>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DC77CEA" w14:textId="629C96C5" w:rsidR="0019691F" w:rsidRPr="00C72774" w:rsidRDefault="0019691F" w:rsidP="00A94D64">
            <w:pPr>
              <w:pStyle w:val="ListParagraph"/>
              <w:widowControl w:val="0"/>
              <w:numPr>
                <w:ilvl w:val="0"/>
                <w:numId w:val="6"/>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z w:val="18"/>
                <w:szCs w:val="18"/>
                <w:lang w:val="fr-FR"/>
              </w:rPr>
              <w:t>Le rapport annuel de mise en œuvre et l’aide-mémoire sont utilisés par les partenaires de développement pour informer leurs Sièges des performances sectorielles.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90FF17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AEBDD1"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1B4CA1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FBB073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511924B"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57A93C5B" w14:textId="77777777">
        <w:trPr>
          <w:trHeight w:val="559"/>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3D96850" w14:textId="72B78E6B" w:rsidR="0019691F" w:rsidRPr="00C72774" w:rsidRDefault="0019691F" w:rsidP="00A94D64">
            <w:pPr>
              <w:pStyle w:val="ListParagraph"/>
              <w:widowControl w:val="0"/>
              <w:numPr>
                <w:ilvl w:val="0"/>
                <w:numId w:val="6"/>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C72774">
              <w:rPr>
                <w:rFonts w:ascii="DINRoundPro" w:hAnsi="DINRoundPro" w:cs="DINRoundPro"/>
                <w:color w:val="000000"/>
                <w:sz w:val="18"/>
                <w:szCs w:val="18"/>
                <w:lang w:val="fr-FR"/>
              </w:rPr>
              <w:t>Les revues parallèles pour une même catégorie de parties prenantes (revue des bailleurs de fonds, revue des OSC, par exemple) sont relativement limitées. Certaines revues subsistent pour des raisons connues et leurs conclusions contribuent à la revue sectorielle conjointe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683C1B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7AC797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EBC326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4E67C6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93F2CE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46E16870" w14:textId="77777777">
        <w:trPr>
          <w:trHeight w:val="450"/>
        </w:trPr>
        <w:tc>
          <w:tcPr>
            <w:tcW w:w="10405" w:type="dxa"/>
            <w:gridSpan w:val="6"/>
            <w:tcBorders>
              <w:top w:val="dotted" w:sz="8" w:space="0" w:color="6E3B96"/>
              <w:left w:val="single" w:sz="4" w:space="0" w:color="6E3B96"/>
              <w:bottom w:val="single" w:sz="4" w:space="0" w:color="6E3B96"/>
              <w:right w:val="single" w:sz="4" w:space="0" w:color="6E3B96"/>
            </w:tcBorders>
            <w:shd w:val="solid" w:color="FFFFFF" w:fill="auto"/>
            <w:tcMar>
              <w:top w:w="120" w:type="dxa"/>
              <w:left w:w="120" w:type="dxa"/>
              <w:bottom w:w="120" w:type="dxa"/>
              <w:right w:w="120" w:type="dxa"/>
            </w:tcMar>
          </w:tcPr>
          <w:p w14:paraId="127D44A1"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r w:rsidRPr="0019691F">
              <w:rPr>
                <w:rFonts w:ascii="DINRoundPro" w:hAnsi="DINRoundPro" w:cs="DINRoundPro"/>
                <w:b/>
                <w:bCs/>
                <w:color w:val="000000"/>
                <w:sz w:val="18"/>
                <w:szCs w:val="18"/>
                <w:lang w:val="fr-FR"/>
              </w:rPr>
              <w:t>Commentaires :</w:t>
            </w:r>
            <w:r w:rsidRPr="0019691F">
              <w:rPr>
                <w:rFonts w:ascii="DINRoundPro" w:hAnsi="DINRoundPro" w:cs="DINRoundPro"/>
                <w:b/>
                <w:bCs/>
                <w:color w:val="000000"/>
                <w:sz w:val="18"/>
                <w:szCs w:val="18"/>
                <w:lang w:val="fr-FR"/>
              </w:rPr>
              <w:br/>
            </w:r>
            <w:r w:rsidRPr="0019691F">
              <w:rPr>
                <w:rFonts w:ascii="DINRoundPro" w:hAnsi="DINRoundPro" w:cs="DINRoundPro"/>
                <w:color w:val="000000"/>
                <w:sz w:val="18"/>
                <w:szCs w:val="18"/>
                <w:lang w:val="fr-FR"/>
              </w:rPr>
              <w:br/>
            </w:r>
          </w:p>
          <w:p w14:paraId="6ABE9899"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p>
          <w:p w14:paraId="2CF103B2"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p>
          <w:p w14:paraId="35277C89"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r w:rsidRPr="0019691F">
              <w:rPr>
                <w:rFonts w:ascii="DINRoundPro" w:hAnsi="DINRoundPro" w:cs="DINRoundPro"/>
                <w:color w:val="000000"/>
                <w:sz w:val="18"/>
                <w:szCs w:val="18"/>
                <w:lang w:val="fr-FR"/>
              </w:rPr>
              <w:br/>
            </w:r>
            <w:r w:rsidRPr="0019691F">
              <w:rPr>
                <w:rFonts w:ascii="DINRoundPro" w:hAnsi="DINRoundPro" w:cs="DINRoundPro"/>
                <w:color w:val="000000"/>
                <w:sz w:val="18"/>
                <w:szCs w:val="18"/>
                <w:lang w:val="fr-FR"/>
              </w:rPr>
              <w:br/>
            </w:r>
          </w:p>
        </w:tc>
      </w:tr>
    </w:tbl>
    <w:p w14:paraId="29EA388C" w14:textId="0AF34591" w:rsidR="002357B9" w:rsidRDefault="002357B9" w:rsidP="00A94D64"/>
    <w:tbl>
      <w:tblPr>
        <w:tblW w:w="0" w:type="auto"/>
        <w:tblInd w:w="120" w:type="dxa"/>
        <w:tblLayout w:type="fixed"/>
        <w:tblCellMar>
          <w:left w:w="0" w:type="dxa"/>
          <w:right w:w="0" w:type="dxa"/>
        </w:tblCellMar>
        <w:tblLook w:val="0000" w:firstRow="0" w:lastRow="0" w:firstColumn="0" w:lastColumn="0" w:noHBand="0" w:noVBand="0"/>
      </w:tblPr>
      <w:tblGrid>
        <w:gridCol w:w="8059"/>
        <w:gridCol w:w="450"/>
        <w:gridCol w:w="450"/>
        <w:gridCol w:w="450"/>
        <w:gridCol w:w="450"/>
        <w:gridCol w:w="560"/>
      </w:tblGrid>
      <w:tr w:rsidR="0019691F" w:rsidRPr="00DC71BB" w14:paraId="53863A2E" w14:textId="77777777">
        <w:trPr>
          <w:trHeight w:val="60"/>
          <w:tblHeader/>
        </w:trPr>
        <w:tc>
          <w:tcPr>
            <w:tcW w:w="10419"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046FE3E3"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aps/>
                <w:color w:val="FFFFFF"/>
                <w:sz w:val="18"/>
                <w:szCs w:val="18"/>
                <w:lang w:val="fr-FR"/>
              </w:rPr>
            </w:pPr>
            <w:r w:rsidRPr="0019691F">
              <w:rPr>
                <w:rFonts w:ascii="DINRoundPro-Bold" w:hAnsi="DINRoundPro-Bold" w:cs="DINRoundPro-Bold"/>
                <w:b/>
                <w:bCs/>
                <w:caps/>
                <w:color w:val="FFFFFF"/>
                <w:sz w:val="18"/>
                <w:szCs w:val="18"/>
                <w:lang w:val="fr-FR"/>
              </w:rPr>
              <w:t>Dimension 3 : Fondée sur des données empiriques</w:t>
            </w:r>
          </w:p>
        </w:tc>
      </w:tr>
      <w:tr w:rsidR="0019691F" w:rsidRPr="00DC71BB" w14:paraId="52E860B2" w14:textId="77777777" w:rsidTr="009F0719">
        <w:trPr>
          <w:trHeight w:val="60"/>
        </w:trPr>
        <w:tc>
          <w:tcPr>
            <w:tcW w:w="10419" w:type="dxa"/>
            <w:gridSpan w:val="6"/>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5F72D1D2"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r w:rsidRPr="0019691F">
              <w:rPr>
                <w:rFonts w:ascii="DINRoundPro" w:hAnsi="DINRoundPro" w:cs="DINRoundPro"/>
                <w:b/>
                <w:bCs/>
                <w:color w:val="FFFFFF"/>
                <w:spacing w:val="-2"/>
                <w:sz w:val="18"/>
                <w:szCs w:val="18"/>
                <w:lang w:val="fr-FR"/>
              </w:rPr>
              <w:t>La revue sectorielle conjointe s’appuie sur des données actualisées et fiables relatives à la mise en œuvre du plan ainsi que sur des données financières portant sur l’année considérée. Ces données émanent d’un large éventail de parties prenantes, parmi lesquelles des enseignants, des groupes bénéficiaires, des OSC locales, des bailleurs de fonds et les pouvoirs publics.</w:t>
            </w:r>
          </w:p>
        </w:tc>
      </w:tr>
      <w:tr w:rsidR="0019691F" w:rsidRPr="0019691F" w14:paraId="076727AB"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37D26CB9"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3.1.</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 xml:space="preserve">La revue s’appuie sur le rapport annuel de mise en œuvre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EA1C9CE"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xml:space="preserve">- -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3FC79A16"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676F04F2"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91DB8A5"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744147AA"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0FBFA2A8"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B69759C" w14:textId="5384732E"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 xml:space="preserve">Le rapport comprend une brève analyse de situation pour la période, assortie des principaux indicateurs sectoriels de réalisations et, si possible, de résultats pour l’année considérée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7D194C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E45451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279A44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F9F445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C0D27E1"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5AAC9A27"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5CFB82F" w14:textId="73CDB048"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Il comprend une brève analyse de situation, assortie des principales données financières de l’année considérée portant sur le budget national et celui de l’éducation</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CD9C2E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917245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7D9B9D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6BBCC6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D9CFD4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65BB338B"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AA2A775" w14:textId="48D9EA68"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Il expose les progrès réalisés et les résultats obtenus grâce à la mise en œuvre du plan opérationnel annuel ou pluriannuel (revue des programmes et activités)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CFEEC7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AC1D36B"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8D868F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13FB54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41B488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0F07111A"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9B55208" w14:textId="71EAD8DA"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 xml:space="preserve">Il précise les dépenses liées aux programmes et activités qui sont couvertes par des financements internes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C18E46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1FE578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57073F1"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61CAA3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4BBADC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51F063A0"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D27C972" w14:textId="5418637C"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Il précise les dépenses liées aux programmes et activités qui sont couvertes par des financements externes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A67DA5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D2FA00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1B32B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97662B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DB5C91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77C56F96"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E2ADD06" w14:textId="6BFB21E1"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 xml:space="preserve">Il comprend des informations sur les promesses d’aide internationale et les décaissements effectifs au bénéfice du secteur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D6DF83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ED8F37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400AB4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8B8234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B2E3C2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60256C83"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C56D722" w14:textId="09E42E8B"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Il comprend un diagnostic des points faibles et des points forts du secteur, notamment en ce qui concerne la qualité et la fiabilité du corpus de données empiriques et des informations générées par le processus de suivi-évaluation</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A88271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45175C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421136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3F1959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605309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76A24364"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6C0DA20" w14:textId="48B452D7"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Il comprend un état d’avancement des recommandations de la précédente revue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F7CACC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CFC4B9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5EDCEA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F1CD56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0346F6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04926C0F"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A003B08" w14:textId="361311F3"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Il s’appuie sur les contributions des autorités régionales du secteur de l’éducation, des partenaires de développement, y compris les OSC locales, qui participent à la production de données empiriques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5E572C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E702F9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0DE15F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2FD460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9733A5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5064A80E"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0483B5E" w14:textId="721453F4" w:rsidR="0019691F" w:rsidRPr="009F0719" w:rsidRDefault="0019691F" w:rsidP="00A94D64">
            <w:pPr>
              <w:pStyle w:val="ListParagraph"/>
              <w:widowControl w:val="0"/>
              <w:numPr>
                <w:ilvl w:val="0"/>
                <w:numId w:val="7"/>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Il est facile à consulter, répond à sa finalité et est adapté aux divers publics cibles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E1A364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EA207C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9125E5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0BA678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A2389A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0138E0C1"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08FF980" w14:textId="2D456F69"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3.2.</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 xml:space="preserve">La revue s’appuie sur d’autres faits probants relatifs aux performances sectorielles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6E638A39"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xml:space="preserve">- -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7BBAAE08"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3B35687"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20B48FE"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5FC0AD9"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081EF479" w14:textId="77777777">
        <w:trPr>
          <w:trHeight w:val="60"/>
        </w:trPr>
        <w:tc>
          <w:tcPr>
            <w:tcW w:w="8059"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E130F3F" w14:textId="5ADF8910" w:rsidR="0019691F" w:rsidRPr="009F0719" w:rsidRDefault="0019691F" w:rsidP="00A94D64">
            <w:pPr>
              <w:pStyle w:val="ListParagraph"/>
              <w:widowControl w:val="0"/>
              <w:numPr>
                <w:ilvl w:val="0"/>
                <w:numId w:val="8"/>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 xml:space="preserve">La revue sectorielle conjointe utilise les principales conclusions des rapports commandés (évaluations d’apprentissage, études, interventions sur le terrain, constats d’évaluation, etc.) </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C3CDA8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597343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4BA37E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6FEAB2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2F8A6A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0F8ABAEA"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6956D39" w14:textId="0A275B68" w:rsidR="0019691F" w:rsidRPr="009F0719" w:rsidRDefault="0019691F" w:rsidP="00A94D64">
            <w:pPr>
              <w:pStyle w:val="ListParagraph"/>
              <w:widowControl w:val="0"/>
              <w:numPr>
                <w:ilvl w:val="0"/>
                <w:numId w:val="8"/>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 xml:space="preserve">Des données supplémentaires alimentent des séances spécialisées (analyses ponctuelles approfondies) pendant la réunion de la revue </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D8BDE1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9D36BD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EDD41B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92EFA2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A404B0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4756713A"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8314A32"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3.3.</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 xml:space="preserve">Le corpus de données empiriques enrichit le dialogue durant la revue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75F839ED"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xml:space="preserve">- -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ED32A2A"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6056AD9"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68E0B549"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F97A30A"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4396B166"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A42998E" w14:textId="71A13DA9" w:rsidR="0019691F" w:rsidRPr="009F0719" w:rsidRDefault="0019691F" w:rsidP="00A94D64">
            <w:pPr>
              <w:pStyle w:val="ListParagraph"/>
              <w:widowControl w:val="0"/>
              <w:numPr>
                <w:ilvl w:val="0"/>
                <w:numId w:val="9"/>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Le rapport annuel de mise en œuvre est transmis suffisamment à l’avance pour que les participants à la réunion aient le temps de se préparer à débattre de son contenu</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809D47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C28F16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9C21F9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743950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6B973A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4460E13A"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72066E8" w14:textId="4EA5B0C0" w:rsidR="0019691F" w:rsidRPr="009F0719" w:rsidRDefault="0019691F" w:rsidP="00A94D64">
            <w:pPr>
              <w:pStyle w:val="ListParagraph"/>
              <w:widowControl w:val="0"/>
              <w:numPr>
                <w:ilvl w:val="0"/>
                <w:numId w:val="9"/>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Le rapport annuel de mise en œuvre met en lumière les principaux problèmes rencontrés par le secteur et sert à adapter le programme en fonction des constats et des questions clés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118856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4C1D5C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B33BAB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A8FE2E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CFF976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4C7114F6"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AD437D" w14:textId="36084477" w:rsidR="0019691F" w:rsidRPr="009F0719" w:rsidRDefault="0019691F" w:rsidP="00A94D64">
            <w:pPr>
              <w:pStyle w:val="ListParagraph"/>
              <w:widowControl w:val="0"/>
              <w:numPr>
                <w:ilvl w:val="0"/>
                <w:numId w:val="9"/>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pacing w:val="1"/>
                <w:sz w:val="18"/>
                <w:szCs w:val="18"/>
                <w:lang w:val="fr-FR"/>
              </w:rPr>
              <w:t xml:space="preserve">Le rapport annuel de mise en œuvre et les documents connexes sont utilisés pendant les présentations et les débats de la revue sectorielle conjointe </w:t>
            </w:r>
            <w:r w:rsidRPr="009F0719">
              <w:rPr>
                <w:rFonts w:ascii="DINRoundPro" w:hAnsi="DINRoundPro" w:cs="DINRoundPro"/>
                <w:color w:val="000000"/>
                <w:sz w:val="18"/>
                <w:szCs w:val="18"/>
                <w:lang w:val="fr-FR"/>
              </w:rPr>
              <w:t xml:space="preserve">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902EEF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095A04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322F3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B49202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F63383B"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4A92E9A6" w14:textId="77777777">
        <w:trPr>
          <w:trHeight w:val="60"/>
        </w:trPr>
        <w:tc>
          <w:tcPr>
            <w:tcW w:w="10419" w:type="dxa"/>
            <w:gridSpan w:val="6"/>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14:paraId="59385F32" w14:textId="77777777" w:rsidR="00A94D64" w:rsidRDefault="0019691F" w:rsidP="00A94D64">
            <w:pPr>
              <w:widowControl w:val="0"/>
              <w:tabs>
                <w:tab w:val="left" w:pos="280"/>
              </w:tabs>
              <w:suppressAutoHyphens/>
              <w:autoSpaceDE w:val="0"/>
              <w:autoSpaceDN w:val="0"/>
              <w:adjustRightInd w:val="0"/>
              <w:textAlignment w:val="center"/>
              <w:rPr>
                <w:rFonts w:ascii="DINRoundPro" w:hAnsi="DINRoundPro" w:cs="DINRoundPro"/>
                <w:b/>
                <w:bCs/>
                <w:color w:val="000000"/>
                <w:sz w:val="18"/>
                <w:szCs w:val="18"/>
                <w:lang w:val="fr-FR"/>
              </w:rPr>
            </w:pPr>
            <w:r w:rsidRPr="0019691F">
              <w:rPr>
                <w:rFonts w:ascii="DINRoundPro" w:hAnsi="DINRoundPro" w:cs="DINRoundPro"/>
                <w:b/>
                <w:bCs/>
                <w:color w:val="000000"/>
                <w:sz w:val="18"/>
                <w:szCs w:val="18"/>
                <w:lang w:val="fr-FR"/>
              </w:rPr>
              <w:lastRenderedPageBreak/>
              <w:t>Commentaires :</w:t>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p>
          <w:p w14:paraId="042B586D" w14:textId="7D620FED" w:rsidR="00A94D64" w:rsidRDefault="00A94D64" w:rsidP="00A94D64">
            <w:pPr>
              <w:widowControl w:val="0"/>
              <w:tabs>
                <w:tab w:val="left" w:pos="280"/>
              </w:tabs>
              <w:suppressAutoHyphens/>
              <w:autoSpaceDE w:val="0"/>
              <w:autoSpaceDN w:val="0"/>
              <w:adjustRightInd w:val="0"/>
              <w:textAlignment w:val="center"/>
              <w:rPr>
                <w:rFonts w:ascii="DINRoundPro" w:hAnsi="DINRoundPro" w:cs="DINRoundPro"/>
                <w:b/>
                <w:bCs/>
                <w:color w:val="000000"/>
                <w:sz w:val="18"/>
                <w:szCs w:val="18"/>
                <w:lang w:val="fr-FR"/>
              </w:rPr>
            </w:pPr>
          </w:p>
          <w:p w14:paraId="3609E9E4" w14:textId="355E8DCB" w:rsidR="00554F26" w:rsidRDefault="00554F26" w:rsidP="00A94D64">
            <w:pPr>
              <w:widowControl w:val="0"/>
              <w:tabs>
                <w:tab w:val="left" w:pos="280"/>
              </w:tabs>
              <w:suppressAutoHyphens/>
              <w:autoSpaceDE w:val="0"/>
              <w:autoSpaceDN w:val="0"/>
              <w:adjustRightInd w:val="0"/>
              <w:textAlignment w:val="center"/>
              <w:rPr>
                <w:rFonts w:ascii="DINRoundPro" w:hAnsi="DINRoundPro" w:cs="DINRoundPro"/>
                <w:b/>
                <w:bCs/>
                <w:color w:val="000000"/>
                <w:sz w:val="18"/>
                <w:szCs w:val="18"/>
                <w:lang w:val="fr-FR"/>
              </w:rPr>
            </w:pPr>
          </w:p>
          <w:p w14:paraId="077286E8" w14:textId="4FAE23CF" w:rsidR="00554F26" w:rsidRDefault="00554F26" w:rsidP="00A94D64">
            <w:pPr>
              <w:widowControl w:val="0"/>
              <w:tabs>
                <w:tab w:val="left" w:pos="280"/>
              </w:tabs>
              <w:suppressAutoHyphens/>
              <w:autoSpaceDE w:val="0"/>
              <w:autoSpaceDN w:val="0"/>
              <w:adjustRightInd w:val="0"/>
              <w:textAlignment w:val="center"/>
              <w:rPr>
                <w:rFonts w:ascii="DINRoundPro" w:hAnsi="DINRoundPro" w:cs="DINRoundPro"/>
                <w:b/>
                <w:bCs/>
                <w:color w:val="000000"/>
                <w:sz w:val="18"/>
                <w:szCs w:val="18"/>
                <w:lang w:val="fr-FR"/>
              </w:rPr>
            </w:pPr>
          </w:p>
          <w:p w14:paraId="66A09882" w14:textId="77777777" w:rsidR="00554F26" w:rsidRDefault="00554F26" w:rsidP="00A94D64">
            <w:pPr>
              <w:widowControl w:val="0"/>
              <w:tabs>
                <w:tab w:val="left" w:pos="280"/>
              </w:tabs>
              <w:suppressAutoHyphens/>
              <w:autoSpaceDE w:val="0"/>
              <w:autoSpaceDN w:val="0"/>
              <w:adjustRightInd w:val="0"/>
              <w:textAlignment w:val="center"/>
              <w:rPr>
                <w:rFonts w:ascii="DINRoundPro" w:hAnsi="DINRoundPro" w:cs="DINRoundPro"/>
                <w:b/>
                <w:bCs/>
                <w:color w:val="000000"/>
                <w:sz w:val="18"/>
                <w:szCs w:val="18"/>
                <w:lang w:val="fr-FR"/>
              </w:rPr>
            </w:pPr>
          </w:p>
          <w:p w14:paraId="3114B189" w14:textId="77777777" w:rsidR="00A94D64" w:rsidRDefault="00A94D64" w:rsidP="00A94D64">
            <w:pPr>
              <w:widowControl w:val="0"/>
              <w:tabs>
                <w:tab w:val="left" w:pos="280"/>
              </w:tabs>
              <w:suppressAutoHyphens/>
              <w:autoSpaceDE w:val="0"/>
              <w:autoSpaceDN w:val="0"/>
              <w:adjustRightInd w:val="0"/>
              <w:textAlignment w:val="center"/>
              <w:rPr>
                <w:rFonts w:ascii="DINRoundPro" w:hAnsi="DINRoundPro" w:cs="DINRoundPro"/>
                <w:b/>
                <w:bCs/>
                <w:color w:val="000000"/>
                <w:sz w:val="18"/>
                <w:szCs w:val="18"/>
                <w:lang w:val="fr-FR"/>
              </w:rPr>
            </w:pPr>
          </w:p>
          <w:p w14:paraId="293E0001" w14:textId="0DEBFB4F"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r w:rsidRPr="0019691F">
              <w:rPr>
                <w:rFonts w:ascii="DINRoundPro" w:hAnsi="DINRoundPro" w:cs="DINRoundPro"/>
                <w:b/>
                <w:bCs/>
                <w:color w:val="000000"/>
                <w:sz w:val="18"/>
                <w:szCs w:val="18"/>
                <w:lang w:val="fr-FR"/>
              </w:rPr>
              <w:br/>
            </w:r>
          </w:p>
        </w:tc>
      </w:tr>
    </w:tbl>
    <w:p w14:paraId="64197FA6" w14:textId="770F1F1B" w:rsidR="002357B9" w:rsidRDefault="002357B9" w:rsidP="00A94D64"/>
    <w:p w14:paraId="1A294679" w14:textId="77777777" w:rsidR="002357B9" w:rsidRDefault="002357B9" w:rsidP="00A94D64">
      <w:r>
        <w:rPr>
          <w:rFonts w:hint="eastAsia"/>
        </w:rPr>
        <w:br w:type="page"/>
      </w:r>
    </w:p>
    <w:tbl>
      <w:tblPr>
        <w:tblW w:w="0" w:type="auto"/>
        <w:tblInd w:w="120" w:type="dxa"/>
        <w:tblLayout w:type="fixed"/>
        <w:tblCellMar>
          <w:left w:w="0" w:type="dxa"/>
          <w:right w:w="0" w:type="dxa"/>
        </w:tblCellMar>
        <w:tblLook w:val="0000" w:firstRow="0" w:lastRow="0" w:firstColumn="0" w:lastColumn="0" w:noHBand="0" w:noVBand="0"/>
      </w:tblPr>
      <w:tblGrid>
        <w:gridCol w:w="8059"/>
        <w:gridCol w:w="450"/>
        <w:gridCol w:w="450"/>
        <w:gridCol w:w="450"/>
        <w:gridCol w:w="450"/>
        <w:gridCol w:w="560"/>
      </w:tblGrid>
      <w:tr w:rsidR="0019691F" w:rsidRPr="0019691F" w14:paraId="2E769B3C" w14:textId="77777777">
        <w:trPr>
          <w:trHeight w:val="60"/>
          <w:tblHeader/>
        </w:trPr>
        <w:tc>
          <w:tcPr>
            <w:tcW w:w="10419"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vAlign w:val="bottom"/>
          </w:tcPr>
          <w:p w14:paraId="7F710916"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aps/>
                <w:color w:val="FFFFFF"/>
                <w:sz w:val="18"/>
                <w:szCs w:val="18"/>
                <w:lang w:val="fr-FR"/>
              </w:rPr>
            </w:pPr>
            <w:r w:rsidRPr="0019691F">
              <w:rPr>
                <w:rFonts w:ascii="DINRoundPro-Bold" w:hAnsi="DINRoundPro-Bold" w:cs="DINRoundPro-Bold"/>
                <w:b/>
                <w:bCs/>
                <w:caps/>
                <w:color w:val="FFFFFF"/>
                <w:sz w:val="18"/>
                <w:szCs w:val="18"/>
                <w:lang w:val="fr-FR"/>
              </w:rPr>
              <w:lastRenderedPageBreak/>
              <w:t>Dimension 4 : Outil de suivi</w:t>
            </w:r>
          </w:p>
        </w:tc>
      </w:tr>
      <w:tr w:rsidR="0019691F" w:rsidRPr="00DC71BB" w14:paraId="614AC459" w14:textId="77777777" w:rsidTr="009F0719">
        <w:trPr>
          <w:trHeight w:val="60"/>
        </w:trPr>
        <w:tc>
          <w:tcPr>
            <w:tcW w:w="10419" w:type="dxa"/>
            <w:gridSpan w:val="6"/>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172E2B95"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r w:rsidRPr="0019691F">
              <w:rPr>
                <w:rFonts w:ascii="DINRoundPro" w:hAnsi="DINRoundPro" w:cs="DINRoundPro"/>
                <w:b/>
                <w:bCs/>
                <w:color w:val="FFFFFF"/>
                <w:sz w:val="18"/>
                <w:szCs w:val="18"/>
                <w:lang w:val="fr-FR"/>
              </w:rPr>
              <w:t>La revue sectorielle conjointe est plus qu’un mécanisme de reddition de comptes sur les résultats : elle aide à comprendre les causes de blocage systémique et les échecs, y compris les problèmes de mise en œuvre. Elle aide à améliorer le système global de suivi-évaluation en signalant les difficultés liées à la qualité des informations disponibles et aux lacunes du recueil, de l’analyse et de l’exploitation des données.</w:t>
            </w:r>
          </w:p>
        </w:tc>
      </w:tr>
      <w:tr w:rsidR="0019691F" w:rsidRPr="0019691F" w14:paraId="6648D797"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C5B86A4"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4.1.</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La revue a une fonction de suivi</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E49022B"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xml:space="preserve">- -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1E4F520"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79CADBC"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0C1C85C"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5303AB4"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7003403D"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383B1A5" w14:textId="19C195B9" w:rsidR="0019691F" w:rsidRPr="009F0719" w:rsidRDefault="0019691F" w:rsidP="00A94D64">
            <w:pPr>
              <w:pStyle w:val="ListParagraph"/>
              <w:widowControl w:val="0"/>
              <w:numPr>
                <w:ilvl w:val="0"/>
                <w:numId w:val="10"/>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pacing w:val="1"/>
                <w:sz w:val="18"/>
                <w:szCs w:val="18"/>
                <w:lang w:val="fr-FR"/>
              </w:rPr>
              <w:t>La revue permet une analyse stratégique des performances sectorielles en termes de tendances, de mise en œuvre du PSE, de dépenses et de financements, sur la base d’un inventaire des objectifs atteints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E42CF1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40FC8D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C9913B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795EFA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E17BEE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16528DAC"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C4577A" w14:textId="07B67FC7" w:rsidR="0019691F" w:rsidRPr="009F0719" w:rsidRDefault="0019691F" w:rsidP="00A94D64">
            <w:pPr>
              <w:pStyle w:val="ListParagraph"/>
              <w:widowControl w:val="0"/>
              <w:numPr>
                <w:ilvl w:val="0"/>
                <w:numId w:val="10"/>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Le suivi des résultats du PSE effectué dans le cadre de la revue sectorielle conjointe passe par une redevabilité mutuelle à l’égard des engagements et des rôles impartis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25CABC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836BD9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713606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D67465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E030E9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34C3D6D7"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811AD6A" w14:textId="04395957" w:rsidR="0019691F" w:rsidRPr="009F0719" w:rsidRDefault="0019691F" w:rsidP="00A94D64">
            <w:pPr>
              <w:pStyle w:val="ListParagraph"/>
              <w:widowControl w:val="0"/>
              <w:numPr>
                <w:ilvl w:val="0"/>
                <w:numId w:val="10"/>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 xml:space="preserve">Les problèmes de mise en œuvre au niveau opérationnel font l’objet d’un débat fructueux, qui permet d’identifier les aspects qui entravent à l’amélioration des performances sectorielles et de comprendre ce qui marche et ce qui ne marche pas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936A29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009121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708BB6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50A223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0CFF3A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156C2922"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815C946"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4.2.</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 xml:space="preserve">La revue comporte une fonction d’apprentissage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6D77418"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xml:space="preserve">- -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28DAB9D"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FFD7948"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A22916E"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B31ED60"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292647B1" w14:textId="77777777">
        <w:trPr>
          <w:trHeight w:val="60"/>
        </w:trPr>
        <w:tc>
          <w:tcPr>
            <w:tcW w:w="8059"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172CC19" w14:textId="061A2376" w:rsidR="0019691F" w:rsidRPr="009F0719" w:rsidRDefault="0019691F" w:rsidP="00A94D64">
            <w:pPr>
              <w:pStyle w:val="ListParagraph"/>
              <w:widowControl w:val="0"/>
              <w:numPr>
                <w:ilvl w:val="0"/>
                <w:numId w:val="11"/>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 xml:space="preserve">Les débats de la revue permettent une meilleure compréhension des raisons pour lesquelles les objectifs sont atteints ou non </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C0CD79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3B877A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6D4194B"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1DB060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A82DB5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3B9829E9"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C992106" w14:textId="543E0F05" w:rsidR="0019691F" w:rsidRPr="009F0719" w:rsidRDefault="0019691F" w:rsidP="00A94D64">
            <w:pPr>
              <w:pStyle w:val="ListParagraph"/>
              <w:widowControl w:val="0"/>
              <w:numPr>
                <w:ilvl w:val="0"/>
                <w:numId w:val="11"/>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Les débats portent sur les échecs et leurs causes sous-jacentes et dégagent les actions correctives nécessaires pour améliorer la mise en œuvre du PSE</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994C73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BAB28E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04CE7E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16A704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B620CF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1A64C775" w14:textId="77777777" w:rsidTr="009F0719">
        <w:trPr>
          <w:trHeight w:val="60"/>
        </w:trPr>
        <w:tc>
          <w:tcPr>
            <w:tcW w:w="8059"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78CA2BD"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4.3.</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 xml:space="preserve">La revue a une fonction de méta-examen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94C175C"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xml:space="preserve">- -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728F114"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8B538C6"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6B4FD9B8"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71606738"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22B93480"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7448D93" w14:textId="4AA5D78C" w:rsidR="0019691F" w:rsidRPr="009F0719" w:rsidRDefault="0019691F" w:rsidP="00A94D64">
            <w:pPr>
              <w:pStyle w:val="ListParagraph"/>
              <w:widowControl w:val="0"/>
              <w:numPr>
                <w:ilvl w:val="0"/>
                <w:numId w:val="12"/>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La revue permet d’examiner la qualité du corpus de données empiriques, de relever les lacunes et de faciliter l’évaluation formative du système et des capacités de S&amp;E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BF8117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6C33D5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B14885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DBF871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7AE3F2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0C5C48E3"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61FE5F9" w14:textId="517C3D1E" w:rsidR="0019691F" w:rsidRPr="009F0719" w:rsidRDefault="0019691F" w:rsidP="00A94D64">
            <w:pPr>
              <w:pStyle w:val="ListParagraph"/>
              <w:widowControl w:val="0"/>
              <w:numPr>
                <w:ilvl w:val="0"/>
                <w:numId w:val="12"/>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La revue utilise les indicateurs qui ciblent la qualité des informations générées par le système de S&amp;E pour suivre les améliorations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0C6424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0E92F7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CCF3011"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73CBD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C5F3AB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47C5F41F" w14:textId="77777777">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B64EE1A" w14:textId="0012F4CD" w:rsidR="0019691F" w:rsidRPr="009F0719" w:rsidRDefault="0019691F" w:rsidP="00A94D64">
            <w:pPr>
              <w:pStyle w:val="ListParagraph"/>
              <w:widowControl w:val="0"/>
              <w:numPr>
                <w:ilvl w:val="0"/>
                <w:numId w:val="12"/>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9F0719">
              <w:rPr>
                <w:rFonts w:ascii="DINRoundPro" w:hAnsi="DINRoundPro" w:cs="DINRoundPro"/>
                <w:color w:val="000000"/>
                <w:sz w:val="18"/>
                <w:szCs w:val="18"/>
                <w:lang w:val="fr-FR"/>
              </w:rPr>
              <w:t>Le programme de la revue comprend parmi ses composantes récurrentes un méta-examen qui a pour objet de faciliter la discussion et de déboucher sur des recommandations visant à améliorer le corpus de données empiriques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A0F39C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5287B6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D1419C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72DD9E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50E7C5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79AFBE07" w14:textId="77777777">
        <w:trPr>
          <w:trHeight w:val="60"/>
        </w:trPr>
        <w:tc>
          <w:tcPr>
            <w:tcW w:w="10419" w:type="dxa"/>
            <w:gridSpan w:val="6"/>
            <w:tcBorders>
              <w:top w:val="dotted" w:sz="8" w:space="0" w:color="6E3B96"/>
              <w:left w:val="single" w:sz="4" w:space="0" w:color="6E3B96"/>
              <w:bottom w:val="single" w:sz="4" w:space="0" w:color="6E3B96"/>
              <w:right w:val="single" w:sz="4" w:space="0" w:color="6E3B96"/>
            </w:tcBorders>
            <w:shd w:val="solid" w:color="FFFFFF" w:fill="auto"/>
            <w:tcMar>
              <w:top w:w="120" w:type="dxa"/>
              <w:left w:w="120" w:type="dxa"/>
              <w:bottom w:w="120" w:type="dxa"/>
              <w:right w:w="120" w:type="dxa"/>
            </w:tcMar>
          </w:tcPr>
          <w:p w14:paraId="10331850" w14:textId="76C5F8F3"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b/>
                <w:bCs/>
                <w:color w:val="000000"/>
                <w:sz w:val="18"/>
                <w:szCs w:val="18"/>
                <w:lang w:val="fr-FR"/>
              </w:rPr>
            </w:pPr>
            <w:r w:rsidRPr="0019691F">
              <w:rPr>
                <w:rFonts w:ascii="DINRoundPro" w:hAnsi="DINRoundPro" w:cs="DINRoundPro"/>
                <w:b/>
                <w:bCs/>
                <w:color w:val="000000"/>
                <w:sz w:val="18"/>
                <w:szCs w:val="18"/>
                <w:lang w:val="fr-FR"/>
              </w:rPr>
              <w:t>Commentaires :</w:t>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p>
          <w:p w14:paraId="133880BE"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p>
        </w:tc>
      </w:tr>
    </w:tbl>
    <w:p w14:paraId="76B9EF6B" w14:textId="5879D16F" w:rsidR="002357B9" w:rsidRDefault="002357B9" w:rsidP="00A94D64"/>
    <w:p w14:paraId="54646D49" w14:textId="77777777" w:rsidR="002357B9" w:rsidRDefault="002357B9" w:rsidP="00A94D64">
      <w:r>
        <w:rPr>
          <w:rFonts w:hint="eastAsia"/>
        </w:rPr>
        <w:br w:type="page"/>
      </w:r>
    </w:p>
    <w:tbl>
      <w:tblPr>
        <w:tblW w:w="0" w:type="auto"/>
        <w:tblInd w:w="120" w:type="dxa"/>
        <w:tblLayout w:type="fixed"/>
        <w:tblCellMar>
          <w:left w:w="0" w:type="dxa"/>
          <w:right w:w="0" w:type="dxa"/>
        </w:tblCellMar>
        <w:tblLook w:val="0000" w:firstRow="0" w:lastRow="0" w:firstColumn="0" w:lastColumn="0" w:noHBand="0" w:noVBand="0"/>
      </w:tblPr>
      <w:tblGrid>
        <w:gridCol w:w="8083"/>
        <w:gridCol w:w="450"/>
        <w:gridCol w:w="450"/>
        <w:gridCol w:w="450"/>
        <w:gridCol w:w="450"/>
        <w:gridCol w:w="560"/>
      </w:tblGrid>
      <w:tr w:rsidR="0019691F" w:rsidRPr="00DC71BB" w14:paraId="78E78F30" w14:textId="77777777">
        <w:trPr>
          <w:trHeight w:val="60"/>
          <w:tblHeader/>
        </w:trPr>
        <w:tc>
          <w:tcPr>
            <w:tcW w:w="10443"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2D5D8C99"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aps/>
                <w:color w:val="FFFFFF"/>
                <w:sz w:val="18"/>
                <w:szCs w:val="18"/>
                <w:lang w:val="fr-FR"/>
              </w:rPr>
            </w:pPr>
            <w:r w:rsidRPr="0019691F">
              <w:rPr>
                <w:rFonts w:ascii="DINRoundPro-Bold" w:hAnsi="DINRoundPro-Bold" w:cs="DINRoundPro-Bold"/>
                <w:b/>
                <w:bCs/>
                <w:caps/>
                <w:color w:val="FFFFFF"/>
                <w:sz w:val="18"/>
                <w:szCs w:val="18"/>
                <w:lang w:val="fr-FR"/>
              </w:rPr>
              <w:lastRenderedPageBreak/>
              <w:t>Dimension 5 : Un instrument de changement bien intégré au cycle politique</w:t>
            </w:r>
          </w:p>
        </w:tc>
      </w:tr>
      <w:tr w:rsidR="0019691F" w:rsidRPr="00DC71BB" w14:paraId="02AAEA32" w14:textId="77777777" w:rsidTr="00AD3462">
        <w:trPr>
          <w:trHeight w:val="60"/>
        </w:trPr>
        <w:tc>
          <w:tcPr>
            <w:tcW w:w="10443" w:type="dxa"/>
            <w:gridSpan w:val="6"/>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666D1AD2"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color w:val="000000"/>
                <w:sz w:val="18"/>
                <w:szCs w:val="18"/>
                <w:lang w:val="fr-FR"/>
              </w:rPr>
            </w:pPr>
            <w:r w:rsidRPr="0019691F">
              <w:rPr>
                <w:rFonts w:ascii="DINRoundPro" w:hAnsi="DINRoundPro" w:cs="DINRoundPro"/>
                <w:b/>
                <w:bCs/>
                <w:color w:val="FFFFFF"/>
                <w:sz w:val="18"/>
                <w:szCs w:val="18"/>
                <w:lang w:val="fr-FR"/>
              </w:rPr>
              <w:t xml:space="preserve">Les recommandations de la revue sont prises en main par les parties prenantes et visent à corriger efficacement les faiblesses de la mise en œuvre du PSE/PTE en intervenant sur la planification de la politique et la programmation budgétaire. </w:t>
            </w:r>
          </w:p>
        </w:tc>
      </w:tr>
      <w:tr w:rsidR="0019691F" w:rsidRPr="0019691F" w14:paraId="03F5DE56" w14:textId="77777777" w:rsidTr="00AD3462">
        <w:trPr>
          <w:trHeight w:val="60"/>
        </w:trPr>
        <w:tc>
          <w:tcPr>
            <w:tcW w:w="8083"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71E735F6"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5.1.</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Les recommandations issues de la revue sont réalisables</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E0E083E"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B5F1642"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9E58C62"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6478476"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0B17C2F"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325AEAF2"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A5F32C2" w14:textId="55BC6C3C" w:rsidR="0019691F" w:rsidRPr="00AD3462" w:rsidRDefault="0019691F" w:rsidP="00A94D64">
            <w:pPr>
              <w:pStyle w:val="ListParagraph"/>
              <w:widowControl w:val="0"/>
              <w:numPr>
                <w:ilvl w:val="0"/>
                <w:numId w:val="13"/>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AD3462">
              <w:rPr>
                <w:rFonts w:ascii="DINRoundPro" w:hAnsi="DINRoundPro" w:cs="DINRoundPro"/>
                <w:color w:val="000000"/>
                <w:spacing w:val="1"/>
                <w:sz w:val="18"/>
                <w:szCs w:val="18"/>
                <w:lang w:val="fr-FR"/>
              </w:rPr>
              <w:t xml:space="preserve">Les recommandations sont hiérarchisées et portent directement sur le PSE/PTE ou l’organisation de la revue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12AE1B8"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5220DE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67B803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AF3104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9C55501"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321090F5"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4F408C0" w14:textId="16F947DA" w:rsidR="0019691F" w:rsidRPr="00AD3462" w:rsidRDefault="0019691F" w:rsidP="00A94D64">
            <w:pPr>
              <w:pStyle w:val="ListParagraph"/>
              <w:widowControl w:val="0"/>
              <w:numPr>
                <w:ilvl w:val="0"/>
                <w:numId w:val="13"/>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AD3462">
              <w:rPr>
                <w:rFonts w:ascii="DINRoundPro" w:hAnsi="DINRoundPro" w:cs="DINRoundPro"/>
                <w:color w:val="000000"/>
                <w:sz w:val="18"/>
                <w:szCs w:val="18"/>
                <w:lang w:val="fr-FR"/>
              </w:rPr>
              <w:t xml:space="preserve">Elles citent les parties responsables de leur mise en œuvre et de leur suivi et comprennent un échéancier pour l’exécution ou la supervision de la révision des documents de planification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100887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C80FBFB"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B4F741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226A77C"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FF41683"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5F46790B" w14:textId="77777777" w:rsidTr="00AD3462">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095DA06" w14:textId="7F5A7157" w:rsidR="0019691F" w:rsidRPr="00AD3462" w:rsidRDefault="0019691F" w:rsidP="00A94D64">
            <w:pPr>
              <w:pStyle w:val="ListParagraph"/>
              <w:widowControl w:val="0"/>
              <w:numPr>
                <w:ilvl w:val="0"/>
                <w:numId w:val="13"/>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AD3462">
              <w:rPr>
                <w:rFonts w:ascii="DINRoundPro" w:hAnsi="DINRoundPro" w:cs="DINRoundPro"/>
                <w:color w:val="000000"/>
                <w:sz w:val="18"/>
                <w:szCs w:val="18"/>
                <w:lang w:val="fr-FR"/>
              </w:rPr>
              <w:t>Les recommandations sont validées et signées par la majorité des parties prenantes soit pendant la revue soit immédiatement après par le biais de l’aide-mémoire ou d’un autre mécanisme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FD9FBE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8A1EA6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6AADD5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3FB388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7B4D46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60747B28" w14:textId="77777777" w:rsidTr="00AD3462">
        <w:trPr>
          <w:trHeight w:val="60"/>
        </w:trPr>
        <w:tc>
          <w:tcPr>
            <w:tcW w:w="8083"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D9E8938"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5.2.</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La revue est menée à un moment stratégique de l’exercice fiscal</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3602E43D"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7FAC929"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B03EAEE"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40589FC7"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22F65DAD"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5040BCEF"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FA5880B" w14:textId="4E350E06" w:rsidR="0019691F" w:rsidRPr="00AD3462" w:rsidRDefault="0019691F" w:rsidP="00A94D64">
            <w:pPr>
              <w:pStyle w:val="ListParagraph"/>
              <w:widowControl w:val="0"/>
              <w:numPr>
                <w:ilvl w:val="0"/>
                <w:numId w:val="14"/>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AD3462">
              <w:rPr>
                <w:rFonts w:ascii="DINRoundPro" w:hAnsi="DINRoundPro" w:cs="DINRoundPro"/>
                <w:color w:val="000000"/>
                <w:sz w:val="18"/>
                <w:szCs w:val="18"/>
                <w:lang w:val="fr-FR"/>
              </w:rPr>
              <w:t xml:space="preserve">La revue sectorielle conjointe est planifiée de sorte que les recommandations qui en sont issues puissent être prises en compte dans les processus nationaux annuels ou pluriannuels de planification opérationnelle et de budgétisation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C60F80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F17B28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B29CA2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D3D089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9807621"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7C6D477E" w14:textId="77777777" w:rsidTr="00AD3462">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E9CFADC" w14:textId="60AAD522" w:rsidR="0019691F" w:rsidRPr="00AD3462" w:rsidRDefault="0019691F" w:rsidP="00A94D64">
            <w:pPr>
              <w:pStyle w:val="ListParagraph"/>
              <w:widowControl w:val="0"/>
              <w:numPr>
                <w:ilvl w:val="0"/>
                <w:numId w:val="14"/>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AD3462">
              <w:rPr>
                <w:rFonts w:ascii="DINRoundPro" w:hAnsi="DINRoundPro" w:cs="DINRoundPro"/>
                <w:color w:val="000000"/>
                <w:sz w:val="18"/>
                <w:szCs w:val="18"/>
                <w:lang w:val="fr-FR"/>
              </w:rPr>
              <w:t>Le plan opérationnel annuel ou pluriannuel est actualisé pour tenir compte des recommandations de la revue sectorielle conjointe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50A23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B6AE43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EC2684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327322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1BBCB25"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37DDD92C" w14:textId="77777777" w:rsidTr="00AD3462">
        <w:trPr>
          <w:trHeight w:val="60"/>
        </w:trPr>
        <w:tc>
          <w:tcPr>
            <w:tcW w:w="8083"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75CB30C" w14:textId="77777777" w:rsidR="0019691F" w:rsidRPr="0019691F" w:rsidRDefault="0019691F" w:rsidP="00A94D64">
            <w:pPr>
              <w:widowControl w:val="0"/>
              <w:tabs>
                <w:tab w:val="left" w:pos="280"/>
              </w:tabs>
              <w:suppressAutoHyphens/>
              <w:autoSpaceDE w:val="0"/>
              <w:autoSpaceDN w:val="0"/>
              <w:adjustRightInd w:val="0"/>
              <w:textAlignment w:val="center"/>
              <w:rPr>
                <w:rFonts w:ascii="DINRoundPro-Bold" w:hAnsi="DINRoundPro-Bold" w:cs="DINRoundPro-Bold"/>
                <w:b/>
                <w:bCs/>
                <w:color w:val="49B449"/>
                <w:sz w:val="18"/>
                <w:szCs w:val="18"/>
                <w:lang w:val="fr-FR"/>
              </w:rPr>
            </w:pPr>
            <w:r w:rsidRPr="0019691F">
              <w:rPr>
                <w:rFonts w:ascii="DINRoundPro-Bold" w:hAnsi="DINRoundPro-Bold" w:cs="DINRoundPro-Bold"/>
                <w:b/>
                <w:bCs/>
                <w:color w:val="6E3B96"/>
                <w:sz w:val="18"/>
                <w:szCs w:val="18"/>
                <w:lang w:val="fr-FR"/>
              </w:rPr>
              <w:t>5.3.</w:t>
            </w:r>
            <w:r w:rsidRPr="0019691F">
              <w:rPr>
                <w:rFonts w:ascii="DINRoundPro-Bold" w:hAnsi="DINRoundPro-Bold" w:cs="DINRoundPro-Bold"/>
                <w:b/>
                <w:bCs/>
                <w:color w:val="6E3B96"/>
                <w:sz w:val="18"/>
                <w:szCs w:val="18"/>
                <w:lang w:val="fr-FR"/>
              </w:rPr>
              <w:t> </w:t>
            </w:r>
            <w:r w:rsidRPr="0019691F">
              <w:rPr>
                <w:rFonts w:ascii="DINRoundPro-Bold" w:hAnsi="DINRoundPro-Bold" w:cs="DINRoundPro-Bold"/>
                <w:b/>
                <w:bCs/>
                <w:color w:val="6E3B96"/>
                <w:sz w:val="18"/>
                <w:szCs w:val="18"/>
                <w:lang w:val="fr-FR"/>
              </w:rPr>
              <w:t>Les suites à donner</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0A4D9A05"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 -</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5E1A704E"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37534CE8"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45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11BA41B1"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r w:rsidRPr="0019691F">
              <w:rPr>
                <w:rFonts w:ascii="DINRoundPro" w:hAnsi="DINRoundPro" w:cs="DINRoundPro"/>
                <w:b/>
                <w:bCs/>
                <w:color w:val="6E3B96"/>
                <w:sz w:val="18"/>
                <w:szCs w:val="18"/>
                <w:lang w:val="fr-FR"/>
              </w:rPr>
              <w:t>++</w:t>
            </w:r>
          </w:p>
        </w:tc>
        <w:tc>
          <w:tcPr>
            <w:tcW w:w="560" w:type="dxa"/>
            <w:tcBorders>
              <w:top w:val="dotted" w:sz="8" w:space="0" w:color="6E3B96"/>
              <w:left w:val="single" w:sz="4" w:space="0" w:color="6E3B96"/>
              <w:bottom w:val="dotted" w:sz="8" w:space="0" w:color="6E3B96"/>
              <w:right w:val="single" w:sz="4" w:space="0" w:color="6E3B96"/>
            </w:tcBorders>
            <w:shd w:val="solid" w:color="CCC0D9" w:themeColor="accent4" w:themeTint="66" w:fill="auto"/>
            <w:tcMar>
              <w:top w:w="120" w:type="dxa"/>
              <w:left w:w="120" w:type="dxa"/>
              <w:bottom w:w="120" w:type="dxa"/>
              <w:right w:w="120" w:type="dxa"/>
            </w:tcMar>
          </w:tcPr>
          <w:p w14:paraId="3176DBDF" w14:textId="77777777" w:rsidR="0019691F" w:rsidRPr="0019691F" w:rsidRDefault="0019691F" w:rsidP="00A94D64">
            <w:pPr>
              <w:widowControl w:val="0"/>
              <w:tabs>
                <w:tab w:val="left" w:pos="280"/>
              </w:tabs>
              <w:suppressAutoHyphens/>
              <w:autoSpaceDE w:val="0"/>
              <w:autoSpaceDN w:val="0"/>
              <w:adjustRightInd w:val="0"/>
              <w:jc w:val="center"/>
              <w:textAlignment w:val="center"/>
              <w:rPr>
                <w:rFonts w:ascii="DINRoundPro" w:hAnsi="DINRoundPro" w:cs="DINRoundPro"/>
                <w:color w:val="000000"/>
                <w:sz w:val="18"/>
                <w:szCs w:val="18"/>
                <w:lang w:val="fr-FR"/>
              </w:rPr>
            </w:pPr>
            <w:proofErr w:type="spellStart"/>
            <w:r w:rsidRPr="0019691F">
              <w:rPr>
                <w:rFonts w:ascii="DINRoundPro" w:hAnsi="DINRoundPro" w:cs="DINRoundPro"/>
                <w:b/>
                <w:bCs/>
                <w:color w:val="6E3B96"/>
                <w:sz w:val="18"/>
                <w:szCs w:val="18"/>
                <w:u w:color="000000"/>
                <w:lang w:val="fr-FR"/>
              </w:rPr>
              <w:t>s.o</w:t>
            </w:r>
            <w:proofErr w:type="spellEnd"/>
            <w:r w:rsidRPr="0019691F">
              <w:rPr>
                <w:rFonts w:ascii="DINRoundPro" w:hAnsi="DINRoundPro" w:cs="DINRoundPro"/>
                <w:b/>
                <w:bCs/>
                <w:color w:val="6E3B96"/>
                <w:sz w:val="18"/>
                <w:szCs w:val="18"/>
                <w:u w:color="000000"/>
                <w:lang w:val="fr-FR"/>
              </w:rPr>
              <w:t>.</w:t>
            </w:r>
          </w:p>
        </w:tc>
      </w:tr>
      <w:tr w:rsidR="0019691F" w:rsidRPr="00DC71BB" w14:paraId="68689D9C"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4E13AAF" w14:textId="41320E64" w:rsidR="0019691F" w:rsidRPr="00AD3462" w:rsidRDefault="0019691F" w:rsidP="00A94D64">
            <w:pPr>
              <w:pStyle w:val="ListParagraph"/>
              <w:widowControl w:val="0"/>
              <w:numPr>
                <w:ilvl w:val="0"/>
                <w:numId w:val="15"/>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AD3462">
              <w:rPr>
                <w:rFonts w:ascii="DINRoundPro" w:hAnsi="DINRoundPro" w:cs="DINRoundPro"/>
                <w:color w:val="000000"/>
                <w:sz w:val="18"/>
                <w:szCs w:val="18"/>
                <w:lang w:val="fr-FR"/>
              </w:rPr>
              <w:t>Les suites à donner sont prises en compte dans les structures nationales de concertation et de coordination (Groupe local des partenaires de l’éducation, groupes de travail thématiques) et au niveau infranational</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F953346"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9DCED4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B86B4E0"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9D5BC54"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A6E33E"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11CCE2BB"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0734C95" w14:textId="2DD7713C" w:rsidR="0019691F" w:rsidRPr="00AD3462" w:rsidRDefault="0019691F" w:rsidP="00A94D64">
            <w:pPr>
              <w:pStyle w:val="ListParagraph"/>
              <w:widowControl w:val="0"/>
              <w:numPr>
                <w:ilvl w:val="0"/>
                <w:numId w:val="15"/>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AD3462">
              <w:rPr>
                <w:rFonts w:ascii="DINRoundPro" w:hAnsi="DINRoundPro" w:cs="DINRoundPro"/>
                <w:color w:val="000000"/>
                <w:sz w:val="18"/>
                <w:szCs w:val="18"/>
                <w:lang w:val="fr-FR"/>
              </w:rPr>
              <w:t xml:space="preserve">La mise en œuvre des recommandations est suivie, documentée et présentée à la revue suivante—ce qui est un gage de redevabilité mutuelle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24D9A9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631527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D36CDB2"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A7DED4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C0548F7"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DC71BB" w14:paraId="68009723"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C22DFD8" w14:textId="1667C867" w:rsidR="0019691F" w:rsidRPr="00AD3462" w:rsidRDefault="0019691F" w:rsidP="00A94D64">
            <w:pPr>
              <w:pStyle w:val="ListParagraph"/>
              <w:widowControl w:val="0"/>
              <w:numPr>
                <w:ilvl w:val="0"/>
                <w:numId w:val="15"/>
              </w:numPr>
              <w:tabs>
                <w:tab w:val="left" w:pos="280"/>
              </w:tabs>
              <w:suppressAutoHyphens/>
              <w:autoSpaceDE w:val="0"/>
              <w:autoSpaceDN w:val="0"/>
              <w:adjustRightInd w:val="0"/>
              <w:ind w:left="202" w:hanging="202"/>
              <w:textAlignment w:val="center"/>
              <w:rPr>
                <w:rFonts w:ascii="DINRoundPro" w:hAnsi="DINRoundPro" w:cs="DINRoundPro"/>
                <w:color w:val="000000"/>
                <w:sz w:val="18"/>
                <w:szCs w:val="18"/>
                <w:lang w:val="fr-FR"/>
              </w:rPr>
            </w:pPr>
            <w:r w:rsidRPr="00AD3462">
              <w:rPr>
                <w:rFonts w:ascii="DINRoundPro" w:hAnsi="DINRoundPro" w:cs="DINRoundPro"/>
                <w:color w:val="000000"/>
                <w:sz w:val="18"/>
                <w:szCs w:val="18"/>
                <w:lang w:val="fr-FR"/>
              </w:rPr>
              <w:t>Les aspects qui sont essentiels pour optimiser les effets bénéfiques potentiels de la revue sont contrôlés de façon à renforcer son efficacité d’une année sur l’autre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0F25F59"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D40B92A"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0C664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1BDCDAD"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9882BAF" w14:textId="77777777" w:rsidR="0019691F" w:rsidRPr="00A94D64" w:rsidRDefault="0019691F" w:rsidP="00A94D64">
            <w:pPr>
              <w:widowControl w:val="0"/>
              <w:autoSpaceDE w:val="0"/>
              <w:autoSpaceDN w:val="0"/>
              <w:adjustRightInd w:val="0"/>
              <w:rPr>
                <w:rFonts w:ascii="DINRoundPro-Bold" w:hAnsi="DINRoundPro-Bold" w:cs="Times New Roman"/>
                <w:lang w:val="fr-FR"/>
              </w:rPr>
            </w:pPr>
          </w:p>
        </w:tc>
      </w:tr>
      <w:tr w:rsidR="0019691F" w:rsidRPr="0019691F" w14:paraId="651053E6" w14:textId="77777777">
        <w:trPr>
          <w:trHeight w:val="60"/>
        </w:trPr>
        <w:tc>
          <w:tcPr>
            <w:tcW w:w="10443" w:type="dxa"/>
            <w:gridSpan w:val="6"/>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14:paraId="79B30D40" w14:textId="5CB4B250" w:rsidR="0019691F" w:rsidRPr="0019691F" w:rsidRDefault="0019691F" w:rsidP="00A94D64">
            <w:pPr>
              <w:widowControl w:val="0"/>
              <w:tabs>
                <w:tab w:val="left" w:pos="280"/>
              </w:tabs>
              <w:suppressAutoHyphens/>
              <w:autoSpaceDE w:val="0"/>
              <w:autoSpaceDN w:val="0"/>
              <w:adjustRightInd w:val="0"/>
              <w:textAlignment w:val="center"/>
              <w:rPr>
                <w:rFonts w:ascii="DINRoundPro" w:hAnsi="DINRoundPro" w:cs="DINRoundPro"/>
                <w:b/>
                <w:bCs/>
                <w:color w:val="000000"/>
                <w:sz w:val="18"/>
                <w:szCs w:val="18"/>
                <w:lang w:val="fr-FR"/>
              </w:rPr>
            </w:pPr>
            <w:r w:rsidRPr="0019691F">
              <w:rPr>
                <w:rFonts w:ascii="DINRoundPro" w:hAnsi="DINRoundPro" w:cs="DINRoundPro"/>
                <w:b/>
                <w:bCs/>
                <w:color w:val="000000"/>
                <w:sz w:val="18"/>
                <w:szCs w:val="18"/>
                <w:lang w:val="fr-FR"/>
              </w:rPr>
              <w:t>Commentaires :</w:t>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00AD3462">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r w:rsidRPr="0019691F">
              <w:rPr>
                <w:rFonts w:ascii="DINRoundPro" w:hAnsi="DINRoundPro" w:cs="DINRoundPro"/>
                <w:b/>
                <w:bCs/>
                <w:color w:val="000000"/>
                <w:sz w:val="18"/>
                <w:szCs w:val="18"/>
                <w:lang w:val="fr-FR"/>
              </w:rPr>
              <w:br/>
            </w:r>
          </w:p>
        </w:tc>
      </w:tr>
    </w:tbl>
    <w:p w14:paraId="6A624F40" w14:textId="77777777" w:rsidR="0019691F" w:rsidRDefault="0019691F" w:rsidP="00A94D64"/>
    <w:sectPr w:rsidR="0019691F" w:rsidSect="008E6F58">
      <w:footerReference w:type="even" r:id="rId7"/>
      <w:footerReference w:type="default" r:id="rId8"/>
      <w:pgSz w:w="12240" w:h="15840"/>
      <w:pgMar w:top="108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B67F" w14:textId="77777777" w:rsidR="005E3FF3" w:rsidRDefault="005E3FF3" w:rsidP="00571769">
      <w:r>
        <w:separator/>
      </w:r>
    </w:p>
  </w:endnote>
  <w:endnote w:type="continuationSeparator" w:id="0">
    <w:p w14:paraId="2955F3B7" w14:textId="77777777" w:rsidR="005E3FF3" w:rsidRDefault="005E3FF3" w:rsidP="005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RoundPro-Bold">
    <w:altName w:val="Calibri"/>
    <w:panose1 w:val="00000000000000000000"/>
    <w:charset w:val="4D"/>
    <w:family w:val="swiss"/>
    <w:notTrueType/>
    <w:pitch w:val="variable"/>
    <w:sig w:usb0="A00002BF" w:usb1="4000207B" w:usb2="00000000" w:usb3="00000000" w:csb0="00000097" w:csb1="00000000"/>
  </w:font>
  <w:font w:name="SwiftLTStd-Light">
    <w:altName w:val="Calibri"/>
    <w:panose1 w:val="00000000000000000000"/>
    <w:charset w:val="4D"/>
    <w:family w:val="auto"/>
    <w:notTrueType/>
    <w:pitch w:val="default"/>
    <w:sig w:usb0="00000003" w:usb1="00000000" w:usb2="00000000" w:usb3="00000000" w:csb0="00000001" w:csb1="00000000"/>
  </w:font>
  <w:font w:name="SwiftLTStd-Bold">
    <w:altName w:val="Calibri"/>
    <w:panose1 w:val="00000000000000000000"/>
    <w:charset w:val="4D"/>
    <w:family w:val="auto"/>
    <w:notTrueType/>
    <w:pitch w:val="default"/>
    <w:sig w:usb0="00000003" w:usb1="00000000" w:usb2="00000000" w:usb3="00000000" w:csb0="00000001" w:csb1="00000000"/>
  </w:font>
  <w:font w:name="DINRoundPro">
    <w:altName w:val="Calibri"/>
    <w:panose1 w:val="00000000000000000000"/>
    <w:charset w:val="4D"/>
    <w:family w:val="swiss"/>
    <w:notTrueType/>
    <w:pitch w:val="variable"/>
    <w:sig w:usb0="A00002BF" w:usb1="4000207B" w:usb2="00000000" w:usb3="00000000" w:csb0="00000097" w:csb1="00000000"/>
  </w:font>
  <w:font w:name="MinionPro-Regular">
    <w:altName w:val="Cambria"/>
    <w:panose1 w:val="00000000000000000000"/>
    <w:charset w:val="4D"/>
    <w:family w:val="auto"/>
    <w:notTrueType/>
    <w:pitch w:val="default"/>
    <w:sig w:usb0="00000003" w:usb1="00000000" w:usb2="00000000" w:usb3="00000000" w:csb0="00000001" w:csb1="00000000"/>
  </w:font>
  <w:font w:name="SwiftLTStd-Regular">
    <w:altName w:val="Calibri"/>
    <w:panose1 w:val="00000000000000000000"/>
    <w:charset w:val="4D"/>
    <w:family w:val="auto"/>
    <w:notTrueType/>
    <w:pitch w:val="default"/>
    <w:sig w:usb0="00000003" w:usb1="00000000" w:usb2="00000000" w:usb3="00000000" w:csb0="00000001" w:csb1="00000000"/>
  </w:font>
  <w:font w:name="Swift LT Std">
    <w:altName w:val="Times New Roman"/>
    <w:charset w:val="4D"/>
    <w:family w:val="auto"/>
    <w:pitch w:val="default"/>
    <w:sig w:usb0="00000003" w:usb1="00000000" w:usb2="00000000" w:usb3="00000000" w:csb0="00000001" w:csb1="00000000"/>
  </w:font>
  <w:font w:name="Swift LT Std Light">
    <w:altName w:val="Cambria"/>
    <w:panose1 w:val="00000000000000000000"/>
    <w:charset w:val="4D"/>
    <w:family w:val="roman"/>
    <w:notTrueType/>
    <w:pitch w:val="variable"/>
    <w:sig w:usb0="800000AF" w:usb1="50002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EB61" w14:textId="77777777" w:rsidR="00412D9C" w:rsidRDefault="00412D9C" w:rsidP="00412D9C">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0562907" w14:textId="77777777" w:rsidR="00412D9C" w:rsidRDefault="00412D9C" w:rsidP="00571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5F08" w14:textId="77777777" w:rsidR="00412D9C" w:rsidRDefault="00412D9C" w:rsidP="00412D9C">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1</w:t>
    </w:r>
    <w:r>
      <w:rPr>
        <w:rStyle w:val="PageNumber"/>
        <w:rFonts w:hint="eastAsia"/>
      </w:rPr>
      <w:fldChar w:fldCharType="end"/>
    </w:r>
  </w:p>
  <w:p w14:paraId="6021F5DF" w14:textId="77777777" w:rsidR="00412D9C" w:rsidRDefault="00412D9C" w:rsidP="00571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9912" w14:textId="77777777" w:rsidR="005E3FF3" w:rsidRDefault="005E3FF3" w:rsidP="00571769">
      <w:r>
        <w:separator/>
      </w:r>
    </w:p>
  </w:footnote>
  <w:footnote w:type="continuationSeparator" w:id="0">
    <w:p w14:paraId="23540C1A" w14:textId="77777777" w:rsidR="005E3FF3" w:rsidRDefault="005E3FF3" w:rsidP="00571769">
      <w:r>
        <w:continuationSeparator/>
      </w:r>
    </w:p>
  </w:footnote>
  <w:footnote w:id="1">
    <w:p w14:paraId="5A289689" w14:textId="77777777" w:rsidR="00DC71BB" w:rsidRPr="0038559F" w:rsidRDefault="00DC71BB" w:rsidP="00DC71BB">
      <w:pPr>
        <w:ind w:left="360"/>
        <w:rPr>
          <w:rFonts w:ascii="Swift LT Std Light" w:hAnsi="Swift LT Std Light"/>
          <w:sz w:val="18"/>
          <w:szCs w:val="18"/>
        </w:rPr>
      </w:pPr>
      <w:r>
        <w:rPr>
          <w:rStyle w:val="FootnoteReference"/>
        </w:rPr>
        <w:footnoteRef/>
      </w:r>
      <w:r>
        <w:t xml:space="preserve"> </w:t>
      </w:r>
      <w:r w:rsidRPr="0055491E">
        <w:rPr>
          <w:rFonts w:ascii="Swift LT Std Light" w:hAnsi="Swift LT Std Light"/>
          <w:sz w:val="18"/>
          <w:szCs w:val="18"/>
        </w:rPr>
        <w:t xml:space="preserve"> </w:t>
      </w:r>
      <w:hyperlink r:id="rId1" w:history="1">
        <w:r w:rsidRPr="0055491E">
          <w:rPr>
            <w:rStyle w:val="Hyperlink"/>
            <w:rFonts w:ascii="Swift LT Std Light" w:hAnsi="Swift LT Std Light"/>
            <w:sz w:val="18"/>
            <w:szCs w:val="18"/>
          </w:rPr>
          <w:t>https://www.globalpartnership.org/content/practical-guide-effective-joint-sector-reviews-education-sector</w:t>
        </w:r>
      </w:hyperlink>
    </w:p>
  </w:footnote>
  <w:footnote w:id="2">
    <w:p w14:paraId="249F7CB7" w14:textId="765BCB89" w:rsidR="00DC71BB" w:rsidRDefault="00DC71BB" w:rsidP="00DC71BB">
      <w:pPr>
        <w:pStyle w:val="TBLBODYTables"/>
        <w:spacing w:after="0"/>
      </w:pPr>
      <w:r>
        <w:rPr>
          <w:rStyle w:val="FootnoteReference"/>
        </w:rPr>
        <w:footnoteRef/>
      </w:r>
      <w:r>
        <w:t xml:space="preserve"> </w:t>
      </w:r>
      <w:proofErr w:type="spellStart"/>
      <w:r>
        <w:rPr>
          <w:sz w:val="16"/>
          <w:szCs w:val="16"/>
        </w:rPr>
        <w:t>s.o</w:t>
      </w:r>
      <w:proofErr w:type="spellEnd"/>
      <w:r>
        <w:rPr>
          <w:sz w:val="16"/>
          <w:szCs w:val="16"/>
        </w:rPr>
        <w:t>. : sans objet</w:t>
      </w:r>
    </w:p>
    <w:p w14:paraId="1BDD74EC" w14:textId="0AF99A42" w:rsidR="00DC71BB" w:rsidRDefault="00DC71B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822"/>
    <w:multiLevelType w:val="hybridMultilevel"/>
    <w:tmpl w:val="225A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CD0"/>
    <w:multiLevelType w:val="hybridMultilevel"/>
    <w:tmpl w:val="19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4262A"/>
    <w:multiLevelType w:val="hybridMultilevel"/>
    <w:tmpl w:val="B844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4287"/>
    <w:multiLevelType w:val="hybridMultilevel"/>
    <w:tmpl w:val="C8CA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3E4A"/>
    <w:multiLevelType w:val="hybridMultilevel"/>
    <w:tmpl w:val="904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7382"/>
    <w:multiLevelType w:val="hybridMultilevel"/>
    <w:tmpl w:val="4B9A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F4F7B"/>
    <w:multiLevelType w:val="hybridMultilevel"/>
    <w:tmpl w:val="DFDE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421E5"/>
    <w:multiLevelType w:val="hybridMultilevel"/>
    <w:tmpl w:val="05C8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D0EF1"/>
    <w:multiLevelType w:val="hybridMultilevel"/>
    <w:tmpl w:val="BE90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A3BE7"/>
    <w:multiLevelType w:val="hybridMultilevel"/>
    <w:tmpl w:val="E63C20AA"/>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w:hAnsi="Courier"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w:hAnsi="Courier"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w:hAnsi="Courier" w:hint="default"/>
      </w:rPr>
    </w:lvl>
    <w:lvl w:ilvl="8" w:tplc="04090005" w:tentative="1">
      <w:start w:val="1"/>
      <w:numFmt w:val="bullet"/>
      <w:lvlText w:val=""/>
      <w:lvlJc w:val="left"/>
      <w:pPr>
        <w:ind w:left="6747" w:hanging="360"/>
      </w:pPr>
      <w:rPr>
        <w:rFonts w:ascii="Wingdings" w:hAnsi="Wingdings" w:hint="default"/>
      </w:rPr>
    </w:lvl>
  </w:abstractNum>
  <w:abstractNum w:abstractNumId="10" w15:restartNumberingAfterBreak="0">
    <w:nsid w:val="34137C3E"/>
    <w:multiLevelType w:val="hybridMultilevel"/>
    <w:tmpl w:val="5598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F14D8"/>
    <w:multiLevelType w:val="hybridMultilevel"/>
    <w:tmpl w:val="8FA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F2BE6"/>
    <w:multiLevelType w:val="hybridMultilevel"/>
    <w:tmpl w:val="C8A26AC4"/>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w:hAnsi="Courier"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w:hAnsi="Courier"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w:hAnsi="Courier" w:hint="default"/>
      </w:rPr>
    </w:lvl>
    <w:lvl w:ilvl="8" w:tplc="04090005" w:tentative="1">
      <w:start w:val="1"/>
      <w:numFmt w:val="bullet"/>
      <w:lvlText w:val=""/>
      <w:lvlJc w:val="left"/>
      <w:pPr>
        <w:ind w:left="6747" w:hanging="360"/>
      </w:pPr>
      <w:rPr>
        <w:rFonts w:ascii="Wingdings" w:hAnsi="Wingdings" w:hint="default"/>
      </w:rPr>
    </w:lvl>
  </w:abstractNum>
  <w:abstractNum w:abstractNumId="13" w15:restartNumberingAfterBreak="0">
    <w:nsid w:val="647519CB"/>
    <w:multiLevelType w:val="hybridMultilevel"/>
    <w:tmpl w:val="4FC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B3FA3"/>
    <w:multiLevelType w:val="hybridMultilevel"/>
    <w:tmpl w:val="1630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10"/>
  </w:num>
  <w:num w:numId="6">
    <w:abstractNumId w:val="1"/>
  </w:num>
  <w:num w:numId="7">
    <w:abstractNumId w:val="14"/>
  </w:num>
  <w:num w:numId="8">
    <w:abstractNumId w:val="11"/>
  </w:num>
  <w:num w:numId="9">
    <w:abstractNumId w:val="2"/>
  </w:num>
  <w:num w:numId="10">
    <w:abstractNumId w:val="8"/>
  </w:num>
  <w:num w:numId="11">
    <w:abstractNumId w:val="3"/>
  </w:num>
  <w:num w:numId="12">
    <w:abstractNumId w:val="13"/>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01"/>
    <w:rsid w:val="00055708"/>
    <w:rsid w:val="00072F4B"/>
    <w:rsid w:val="0019691F"/>
    <w:rsid w:val="002357B9"/>
    <w:rsid w:val="0031533D"/>
    <w:rsid w:val="0036722D"/>
    <w:rsid w:val="0039631D"/>
    <w:rsid w:val="00412D9C"/>
    <w:rsid w:val="00554F26"/>
    <w:rsid w:val="00570EC5"/>
    <w:rsid w:val="00571769"/>
    <w:rsid w:val="005E3FF3"/>
    <w:rsid w:val="00645D25"/>
    <w:rsid w:val="006D06C6"/>
    <w:rsid w:val="006E518F"/>
    <w:rsid w:val="008E6F58"/>
    <w:rsid w:val="009F0719"/>
    <w:rsid w:val="00A51882"/>
    <w:rsid w:val="00A94D64"/>
    <w:rsid w:val="00AD3462"/>
    <w:rsid w:val="00BC0601"/>
    <w:rsid w:val="00C72774"/>
    <w:rsid w:val="00D74077"/>
    <w:rsid w:val="00DC71BB"/>
    <w:rsid w:val="00ED600B"/>
    <w:rsid w:val="00F5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D749B"/>
  <w14:defaultImageDpi w14:val="300"/>
  <w15:docId w15:val="{39C472C2-B610-471C-A903-BB67597C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BC0601"/>
    <w:pPr>
      <w:widowControl w:val="0"/>
      <w:suppressAutoHyphens/>
      <w:autoSpaceDE w:val="0"/>
      <w:autoSpaceDN w:val="0"/>
      <w:adjustRightInd w:val="0"/>
      <w:spacing w:before="240" w:after="200" w:line="420" w:lineRule="atLeast"/>
      <w:textAlignment w:val="center"/>
    </w:pPr>
    <w:rPr>
      <w:rFonts w:ascii="DINRoundPro-Bold" w:hAnsi="DINRoundPro-Bold" w:cs="DINRoundPro-Bold"/>
      <w:b/>
      <w:bCs/>
      <w:color w:val="49B449"/>
      <w:sz w:val="36"/>
      <w:szCs w:val="36"/>
      <w:lang w:val="fr-FR"/>
    </w:rPr>
  </w:style>
  <w:style w:type="paragraph" w:customStyle="1" w:styleId="CHAPBM">
    <w:name w:val="*CHAP_BM"/>
    <w:basedOn w:val="Normal"/>
    <w:uiPriority w:val="99"/>
    <w:rsid w:val="00BC0601"/>
    <w:pPr>
      <w:widowControl w:val="0"/>
      <w:suppressAutoHyphens/>
      <w:autoSpaceDE w:val="0"/>
      <w:autoSpaceDN w:val="0"/>
      <w:adjustRightInd w:val="0"/>
      <w:spacing w:after="280" w:line="280" w:lineRule="atLeast"/>
      <w:textAlignment w:val="center"/>
    </w:pPr>
    <w:rPr>
      <w:rFonts w:ascii="SwiftLTStd-Light" w:hAnsi="SwiftLTStd-Light" w:cs="SwiftLTStd-Light"/>
      <w:color w:val="000000"/>
      <w:sz w:val="21"/>
      <w:szCs w:val="21"/>
      <w:lang w:val="fr-FR"/>
    </w:rPr>
  </w:style>
  <w:style w:type="paragraph" w:customStyle="1" w:styleId="PurpleCHAPBM">
    <w:name w:val="*Purple CHAP_BM"/>
    <w:basedOn w:val="CHAPBM"/>
    <w:uiPriority w:val="99"/>
    <w:rsid w:val="00BC0601"/>
    <w:rPr>
      <w:rFonts w:ascii="SwiftLTStd-Bold" w:hAnsi="SwiftLTStd-Bold" w:cs="SwiftLTStd-Bold"/>
      <w:b/>
      <w:bCs/>
      <w:color w:val="6E3B96"/>
    </w:rPr>
  </w:style>
  <w:style w:type="paragraph" w:customStyle="1" w:styleId="H2">
    <w:name w:val="*H2"/>
    <w:basedOn w:val="Normal"/>
    <w:uiPriority w:val="99"/>
    <w:rsid w:val="00BC0601"/>
    <w:pPr>
      <w:widowControl w:val="0"/>
      <w:suppressAutoHyphens/>
      <w:autoSpaceDE w:val="0"/>
      <w:autoSpaceDN w:val="0"/>
      <w:adjustRightInd w:val="0"/>
      <w:spacing w:before="360" w:after="120" w:line="290" w:lineRule="atLeast"/>
      <w:textAlignment w:val="center"/>
    </w:pPr>
    <w:rPr>
      <w:rFonts w:ascii="DINRoundPro-Bold" w:hAnsi="DINRoundPro-Bold" w:cs="DINRoundPro-Bold"/>
      <w:b/>
      <w:bCs/>
      <w:color w:val="49B449"/>
      <w:sz w:val="25"/>
      <w:szCs w:val="25"/>
      <w:lang w:val="fr-FR"/>
    </w:rPr>
  </w:style>
  <w:style w:type="paragraph" w:customStyle="1" w:styleId="BLfullwidth">
    <w:name w:val="*BL full width"/>
    <w:basedOn w:val="Normal"/>
    <w:uiPriority w:val="99"/>
    <w:rsid w:val="00BC0601"/>
    <w:pPr>
      <w:widowControl w:val="0"/>
      <w:autoSpaceDE w:val="0"/>
      <w:autoSpaceDN w:val="0"/>
      <w:adjustRightInd w:val="0"/>
      <w:spacing w:line="280" w:lineRule="atLeast"/>
      <w:ind w:left="760" w:hanging="280"/>
      <w:textAlignment w:val="center"/>
    </w:pPr>
    <w:rPr>
      <w:rFonts w:ascii="SwiftLTStd-Light" w:hAnsi="SwiftLTStd-Light" w:cs="SwiftLTStd-Light"/>
      <w:color w:val="000000"/>
      <w:sz w:val="21"/>
      <w:szCs w:val="21"/>
      <w:u w:color="000000"/>
      <w:lang w:val="fr-FR"/>
    </w:rPr>
  </w:style>
  <w:style w:type="paragraph" w:customStyle="1" w:styleId="BLfullwidth1p2between">
    <w:name w:val="*BL full width 1p2 between"/>
    <w:basedOn w:val="BLfullwidth"/>
    <w:uiPriority w:val="99"/>
    <w:rsid w:val="00BC0601"/>
    <w:pPr>
      <w:suppressAutoHyphens/>
      <w:spacing w:after="280"/>
    </w:pPr>
  </w:style>
  <w:style w:type="character" w:customStyle="1" w:styleId="BOLD">
    <w:name w:val="*BOLD"/>
    <w:uiPriority w:val="99"/>
    <w:rsid w:val="00BC0601"/>
    <w:rPr>
      <w:b/>
      <w:bCs/>
    </w:rPr>
  </w:style>
  <w:style w:type="character" w:customStyle="1" w:styleId="ITAL">
    <w:name w:val="*ITAL"/>
    <w:uiPriority w:val="99"/>
    <w:rsid w:val="00BC0601"/>
    <w:rPr>
      <w:i/>
      <w:iCs/>
    </w:rPr>
  </w:style>
  <w:style w:type="paragraph" w:customStyle="1" w:styleId="FOOTNOTES">
    <w:name w:val="*FOOTNOTES"/>
    <w:basedOn w:val="Normal"/>
    <w:uiPriority w:val="99"/>
    <w:rsid w:val="00BC0601"/>
    <w:pPr>
      <w:widowControl w:val="0"/>
      <w:autoSpaceDE w:val="0"/>
      <w:autoSpaceDN w:val="0"/>
      <w:adjustRightInd w:val="0"/>
      <w:spacing w:line="200" w:lineRule="atLeast"/>
      <w:ind w:left="160" w:hanging="160"/>
      <w:textAlignment w:val="center"/>
    </w:pPr>
    <w:rPr>
      <w:rFonts w:ascii="DINRoundPro" w:hAnsi="DINRoundPro" w:cs="DINRoundPro"/>
      <w:color w:val="000000"/>
      <w:sz w:val="16"/>
      <w:szCs w:val="16"/>
      <w:lang w:val="fr-FR"/>
    </w:rPr>
  </w:style>
  <w:style w:type="paragraph" w:customStyle="1" w:styleId="NoParagraphStyle">
    <w:name w:val="[No Paragraph Style]"/>
    <w:rsid w:val="00072F4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BLANCHORTables">
    <w:name w:val="*TBL_ANCHOR (Tables)"/>
    <w:basedOn w:val="NoParagraphStyle"/>
    <w:uiPriority w:val="99"/>
    <w:rsid w:val="00072F4B"/>
    <w:pPr>
      <w:spacing w:after="80"/>
    </w:pPr>
    <w:rPr>
      <w:rFonts w:ascii="SwiftLTStd-Regular" w:hAnsi="SwiftLTStd-Regular" w:cs="SwiftLTStd-Regular"/>
      <w:lang w:val="fr-FR"/>
    </w:rPr>
  </w:style>
  <w:style w:type="paragraph" w:customStyle="1" w:styleId="TBLCOLHDTables">
    <w:name w:val="*TBL_COLHD (Tables)"/>
    <w:basedOn w:val="NoParagraphStyle"/>
    <w:uiPriority w:val="99"/>
    <w:rsid w:val="00072F4B"/>
    <w:pPr>
      <w:tabs>
        <w:tab w:val="left" w:pos="280"/>
      </w:tabs>
      <w:suppressAutoHyphens/>
      <w:spacing w:after="120" w:line="220" w:lineRule="atLeast"/>
    </w:pPr>
    <w:rPr>
      <w:rFonts w:ascii="DINRoundPro-Bold" w:hAnsi="DINRoundPro-Bold" w:cs="DINRoundPro-Bold"/>
      <w:b/>
      <w:bCs/>
      <w:caps/>
      <w:color w:val="FFFFFF"/>
      <w:sz w:val="18"/>
      <w:szCs w:val="18"/>
      <w:lang w:val="fr-FR"/>
    </w:rPr>
  </w:style>
  <w:style w:type="paragraph" w:customStyle="1" w:styleId="TBLBODYTables">
    <w:name w:val="*TBL_BODY (Tables)"/>
    <w:basedOn w:val="NoParagraphStyle"/>
    <w:uiPriority w:val="99"/>
    <w:rsid w:val="00072F4B"/>
    <w:pPr>
      <w:tabs>
        <w:tab w:val="left" w:pos="280"/>
      </w:tabs>
      <w:suppressAutoHyphens/>
      <w:spacing w:after="120" w:line="220" w:lineRule="atLeast"/>
    </w:pPr>
    <w:rPr>
      <w:rFonts w:ascii="DINRoundPro" w:hAnsi="DINRoundPro" w:cs="DINRoundPro"/>
      <w:sz w:val="18"/>
      <w:szCs w:val="18"/>
      <w:lang w:val="fr-FR"/>
    </w:rPr>
  </w:style>
  <w:style w:type="paragraph" w:customStyle="1" w:styleId="TBLSIDEHEADTables">
    <w:name w:val="*TBL SIDE HEAD (Tables)"/>
    <w:basedOn w:val="TBLBODYTables"/>
    <w:uiPriority w:val="99"/>
    <w:rsid w:val="00072F4B"/>
    <w:rPr>
      <w:rFonts w:ascii="DINRoundPro-Bold" w:hAnsi="DINRoundPro-Bold" w:cs="DINRoundPro-Bold"/>
      <w:b/>
      <w:bCs/>
      <w:color w:val="49B449"/>
    </w:rPr>
  </w:style>
  <w:style w:type="paragraph" w:customStyle="1" w:styleId="TBLBLTables">
    <w:name w:val="*TBL_BL (Tables)"/>
    <w:basedOn w:val="NoParagraphStyle"/>
    <w:uiPriority w:val="99"/>
    <w:rsid w:val="00072F4B"/>
    <w:pPr>
      <w:tabs>
        <w:tab w:val="left" w:pos="280"/>
      </w:tabs>
      <w:suppressAutoHyphens/>
      <w:spacing w:line="220" w:lineRule="atLeast"/>
      <w:ind w:left="260" w:hanging="260"/>
    </w:pPr>
    <w:rPr>
      <w:rFonts w:ascii="DINRoundPro" w:hAnsi="DINRoundPro" w:cs="DINRoundPro"/>
      <w:sz w:val="18"/>
      <w:szCs w:val="18"/>
      <w:lang w:val="fr-FR"/>
    </w:rPr>
  </w:style>
  <w:style w:type="character" w:customStyle="1" w:styleId="SubheaderDINbold10ptallcaps">
    <w:name w:val="*Subheader: DIN bold 10pt all caps"/>
    <w:uiPriority w:val="99"/>
    <w:rsid w:val="00072F4B"/>
    <w:rPr>
      <w:rFonts w:ascii="DINRoundPro-Bold" w:hAnsi="DINRoundPro-Bold" w:cs="DINRoundPro-Bold"/>
      <w:b/>
      <w:bCs/>
      <w:caps/>
      <w:color w:val="49B449"/>
      <w:spacing w:val="10"/>
      <w:sz w:val="20"/>
      <w:szCs w:val="20"/>
    </w:rPr>
  </w:style>
  <w:style w:type="character" w:customStyle="1" w:styleId="TBLITAL">
    <w:name w:val="*TBL_ITAL"/>
    <w:uiPriority w:val="99"/>
    <w:rsid w:val="0019691F"/>
  </w:style>
  <w:style w:type="paragraph" w:styleId="Footer">
    <w:name w:val="footer"/>
    <w:basedOn w:val="Normal"/>
    <w:link w:val="FooterChar"/>
    <w:uiPriority w:val="99"/>
    <w:unhideWhenUsed/>
    <w:rsid w:val="00571769"/>
    <w:pPr>
      <w:tabs>
        <w:tab w:val="center" w:pos="4320"/>
        <w:tab w:val="right" w:pos="8640"/>
      </w:tabs>
    </w:pPr>
  </w:style>
  <w:style w:type="character" w:customStyle="1" w:styleId="FooterChar">
    <w:name w:val="Footer Char"/>
    <w:basedOn w:val="DefaultParagraphFont"/>
    <w:link w:val="Footer"/>
    <w:uiPriority w:val="99"/>
    <w:rsid w:val="00571769"/>
  </w:style>
  <w:style w:type="character" w:styleId="PageNumber">
    <w:name w:val="page number"/>
    <w:basedOn w:val="DefaultParagraphFont"/>
    <w:uiPriority w:val="99"/>
    <w:semiHidden/>
    <w:unhideWhenUsed/>
    <w:rsid w:val="00571769"/>
  </w:style>
  <w:style w:type="paragraph" w:styleId="ListParagraph">
    <w:name w:val="List Paragraph"/>
    <w:basedOn w:val="Normal"/>
    <w:uiPriority w:val="34"/>
    <w:qFormat/>
    <w:rsid w:val="00C72774"/>
    <w:pPr>
      <w:ind w:left="720"/>
      <w:contextualSpacing/>
    </w:pPr>
  </w:style>
  <w:style w:type="paragraph" w:styleId="Header">
    <w:name w:val="header"/>
    <w:basedOn w:val="Normal"/>
    <w:link w:val="HeaderChar"/>
    <w:uiPriority w:val="99"/>
    <w:unhideWhenUsed/>
    <w:rsid w:val="00A94D64"/>
    <w:pPr>
      <w:tabs>
        <w:tab w:val="center" w:pos="4680"/>
        <w:tab w:val="right" w:pos="9360"/>
      </w:tabs>
    </w:pPr>
  </w:style>
  <w:style w:type="character" w:customStyle="1" w:styleId="HeaderChar">
    <w:name w:val="Header Char"/>
    <w:basedOn w:val="DefaultParagraphFont"/>
    <w:link w:val="Header"/>
    <w:uiPriority w:val="99"/>
    <w:rsid w:val="00A94D64"/>
  </w:style>
  <w:style w:type="paragraph" w:customStyle="1" w:styleId="H10">
    <w:name w:val="**H1"/>
    <w:basedOn w:val="Normal"/>
    <w:uiPriority w:val="99"/>
    <w:rsid w:val="00DC71BB"/>
    <w:pPr>
      <w:suppressAutoHyphens/>
      <w:autoSpaceDE w:val="0"/>
      <w:autoSpaceDN w:val="0"/>
      <w:adjustRightInd w:val="0"/>
      <w:spacing w:before="240" w:after="200" w:line="420" w:lineRule="atLeast"/>
      <w:textAlignment w:val="center"/>
    </w:pPr>
    <w:rPr>
      <w:rFonts w:ascii="DINRoundPro-Bold" w:eastAsiaTheme="minorHAnsi" w:hAnsi="DINRoundPro-Bold" w:cs="DINRoundPro-Bold"/>
      <w:b/>
      <w:bCs/>
      <w:color w:val="49B449"/>
      <w:sz w:val="36"/>
      <w:szCs w:val="36"/>
    </w:rPr>
  </w:style>
  <w:style w:type="character" w:styleId="FootnoteReference">
    <w:name w:val="footnote reference"/>
    <w:basedOn w:val="DefaultParagraphFont"/>
    <w:uiPriority w:val="99"/>
    <w:semiHidden/>
    <w:unhideWhenUsed/>
    <w:rsid w:val="00DC71BB"/>
    <w:rPr>
      <w:vertAlign w:val="superscript"/>
    </w:rPr>
  </w:style>
  <w:style w:type="character" w:styleId="Hyperlink">
    <w:name w:val="Hyperlink"/>
    <w:basedOn w:val="DefaultParagraphFont"/>
    <w:uiPriority w:val="99"/>
    <w:semiHidden/>
    <w:unhideWhenUsed/>
    <w:rsid w:val="00DC71BB"/>
    <w:rPr>
      <w:color w:val="0563C1"/>
      <w:u w:val="single"/>
    </w:rPr>
  </w:style>
  <w:style w:type="paragraph" w:styleId="FootnoteText">
    <w:name w:val="footnote text"/>
    <w:basedOn w:val="Normal"/>
    <w:link w:val="FootnoteTextChar"/>
    <w:uiPriority w:val="99"/>
    <w:semiHidden/>
    <w:unhideWhenUsed/>
    <w:rsid w:val="00DC71BB"/>
    <w:rPr>
      <w:sz w:val="20"/>
      <w:szCs w:val="20"/>
    </w:rPr>
  </w:style>
  <w:style w:type="character" w:customStyle="1" w:styleId="FootnoteTextChar">
    <w:name w:val="Footnote Text Char"/>
    <w:basedOn w:val="DefaultParagraphFont"/>
    <w:link w:val="FootnoteText"/>
    <w:uiPriority w:val="99"/>
    <w:semiHidden/>
    <w:rsid w:val="00DC71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partnership.org/content/practical-guide-effective-joint-sector-reviews-education-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Junk</dc:creator>
  <cp:keywords/>
  <dc:description/>
  <cp:lastModifiedBy>Janne Kjaersgaard Perrier</cp:lastModifiedBy>
  <cp:revision>2</cp:revision>
  <dcterms:created xsi:type="dcterms:W3CDTF">2018-11-30T19:04:00Z</dcterms:created>
  <dcterms:modified xsi:type="dcterms:W3CDTF">2018-11-30T19:04:00Z</dcterms:modified>
</cp:coreProperties>
</file>